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2C6" w:rsidRPr="00F74523" w:rsidRDefault="00000000" w:rsidP="00D042C6">
      <w:pPr>
        <w:spacing w:after="0"/>
        <w:rPr>
          <w:rFonts w:ascii="Open Sans" w:hAnsi="Open Sans" w:cs="Open Sans"/>
          <w:b/>
          <w:color w:val="595959"/>
          <w:sz w:val="40"/>
        </w:rPr>
      </w:pPr>
      <w:r>
        <w:rPr>
          <w:rFonts w:ascii="Open Sans" w:hAnsi="Open Sans" w:cs="Open Sans"/>
          <w:b/>
          <w:noProof/>
          <w:color w:val="595959"/>
          <w:sz w:val="40"/>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280" cy="1038334"/>
                    </a:xfrm>
                    <a:prstGeom prst="rect">
                      <a:avLst/>
                    </a:prstGeom>
                  </pic:spPr>
                </pic:pic>
              </a:graphicData>
            </a:graphic>
          </wp:inline>
        </w:drawing>
      </w:r>
    </w:p>
    <w:p w:rsidR="00073D80" w:rsidRPr="00F74523" w:rsidRDefault="000A2C55" w:rsidP="00D042C6">
      <w:pPr>
        <w:spacing w:after="0"/>
        <w:rPr>
          <w:rFonts w:ascii="Open Sans" w:hAnsi="Open Sans" w:cs="Open Sans"/>
          <w:b/>
          <w:color w:val="595959"/>
          <w:sz w:val="40"/>
        </w:rPr>
      </w:pPr>
      <w:r>
        <w:rPr>
          <w:rFonts w:ascii="Open Sans" w:hAnsi="Open Sans" w:cs="Open Sans"/>
          <w:b/>
          <w:color w:val="595959"/>
          <w:sz w:val="40"/>
        </w:rPr>
        <w:t>AC Managed Equity Portfolio</w:t>
      </w:r>
    </w:p>
    <w:p w:rsidR="008F3B18" w:rsidRPr="00F74523" w:rsidRDefault="000A2C55" w:rsidP="008F3B18">
      <w:pPr>
        <w:spacing w:before="120"/>
        <w:jc w:val="both"/>
        <w:rPr>
          <w:rFonts w:ascii="Open Sans" w:hAnsi="Open Sans" w:cs="Open Sans"/>
        </w:rPr>
      </w:pPr>
      <w:r>
        <w:rPr>
          <w:rFonts w:ascii="Open Sans" w:hAnsi="Open Sans" w:cs="Open Sans"/>
          <w:b/>
          <w:color w:val="595959"/>
          <w:sz w:val="32"/>
          <w:szCs w:val="18"/>
        </w:rPr>
        <w:t>June 2023</w:t>
      </w:r>
      <w:r w:rsidR="00D042C6" w:rsidRPr="00F74523">
        <w:rPr>
          <w:rFonts w:ascii="Open Sans" w:hAnsi="Open Sans" w:cs="Open Sans"/>
          <w:b/>
          <w:color w:val="595959"/>
          <w:sz w:val="32"/>
          <w:szCs w:val="18"/>
        </w:rPr>
        <w:t xml:space="preserve"> Quarterly Review</w:t>
      </w:r>
    </w:p>
    <w:p w:rsidR="009E1D82" w:rsidRDefault="00D642C1" w:rsidP="008F3B18">
      <w:pPr>
        <w:spacing w:before="120"/>
        <w:jc w:val="both"/>
        <w:rPr>
          <w:rFonts w:ascii="DIN Next LT Pro Bold Condensed" w:hAnsi="DIN Next LT Pro Bold Condensed"/>
          <w:b/>
          <w:bCs/>
          <w:color w:val="293C8B"/>
          <w:sz w:val="28"/>
          <w:szCs w:val="28"/>
        </w:rPr>
      </w:pPr>
      <w:r w:rsidRPr="00F74523">
        <w:rPr>
          <w:rFonts w:ascii="DIN Next LT Pro Bold Condensed" w:hAnsi="DIN Next LT Pro Bold Condensed"/>
          <w:color w:val="293C8B"/>
          <w:sz w:val="28"/>
          <w:szCs w:val="28"/>
        </w:rPr>
        <w:t>PORTFOLIO PERFORMANCE</w:t>
      </w:r>
    </w:p>
    <w:p w:rsidR="005E5F13" w:rsidRDefault="00D16B2C" w:rsidP="008F3B18">
      <w:pPr>
        <w:spacing w:before="120"/>
        <w:jc w:val="both"/>
        <w:rPr>
          <w:rFonts w:ascii="Open Sans Light" w:eastAsia="Hiragino Kaku Gothic Pro W6" w:hAnsi="Open Sans Light" w:cs="Open Sans Light"/>
        </w:rPr>
      </w:pPr>
      <w:r w:rsidRPr="00F74523">
        <w:rPr>
          <w:rFonts w:ascii="Open Sans Light" w:eastAsia="Hiragino Kaku Gothic Pro W6" w:hAnsi="Open Sans Light" w:cs="Open Sans Light"/>
        </w:rPr>
        <w:t xml:space="preserve">The </w:t>
      </w:r>
      <w:r>
        <w:rPr>
          <w:rFonts w:ascii="Open Sans Light" w:eastAsia="Hiragino Kaku Gothic Pro W6" w:hAnsi="Open Sans Light" w:cs="Open Sans Light"/>
        </w:rPr>
        <w:t>AC Managed Equity Portfolio</w:t>
      </w:r>
      <w:r w:rsidR="00073D80"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returned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Portfolio3Month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-2.76</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930436" w:rsidRPr="00F74523">
        <w:rPr>
          <w:rFonts w:ascii="Open Sans Light" w:eastAsia="Hiragino Kaku Gothic Pro W6" w:hAnsi="Open Sans Light" w:cs="Open Sans Light"/>
        </w:rPr>
        <w:t xml:space="preserve"> compared to the benchmark </w:t>
      </w:r>
      <w:r>
        <w:rPr>
          <w:rFonts w:ascii="Open Sans Light" w:eastAsia="Hiragino Kaku Gothic Pro W6" w:hAnsi="Open Sans Light" w:cs="Open Sans Light"/>
        </w:rPr>
        <w:t xml:space="preserve">S&amp;P/ASX 200 (TR) </w:t>
      </w:r>
      <w:r w:rsidR="00532507">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Benchmark3Month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1.01</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Pr="00F74523">
        <w:rPr>
          <w:rFonts w:ascii="Open Sans Light" w:eastAsia="Hiragino Kaku Gothic Pro W6" w:hAnsi="Open Sans Light" w:cs="Open Sans Light"/>
        </w:rPr>
        <w:t xml:space="preserve"> giving a relative performance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Relative3Month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-3.77</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0A2C55"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for the period.</w:t>
      </w:r>
    </w:p>
    <w:p w:rsidR="005E5F13" w:rsidRPr="00F74523" w:rsidRDefault="005E5F13" w:rsidP="008F3B18">
      <w:pPr>
        <w:spacing w:before="120"/>
        <w:jc w:val="both"/>
        <w:rPr>
          <w:rFonts w:ascii="Open Sans Light" w:eastAsia="Hiragino Kaku Gothic Pro W6" w:hAnsi="Open Sans Light" w:cs="Open Sans Light"/>
        </w:rPr>
      </w:pPr>
    </w:p>
    <w:p w:rsidR="0056204C" w:rsidRPr="00F74523" w:rsidRDefault="00C65253" w:rsidP="00F74523">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PERFORMANCE TO </w:t>
      </w:r>
      <w:r>
        <w:rPr>
          <w:rFonts w:ascii="DIN Next LT Pro Bold Condensed" w:hAnsi="DIN Next LT Pro Bold Condensed"/>
          <w:b w:val="0"/>
          <w:bCs w:val="0"/>
          <w:color w:val="293C8B"/>
          <w:sz w:val="28"/>
          <w:szCs w:val="28"/>
        </w:rPr>
        <w:t>30 JUNE 2023</w:t>
      </w:r>
    </w:p>
    <w:tbl>
      <w:tblPr>
        <w:tblW w:w="5000" w:type="pct"/>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Look w:val="04A0" w:firstRow="1" w:lastRow="0" w:firstColumn="1" w:lastColumn="0" w:noHBand="0" w:noVBand="1"/>
      </w:tblPr>
      <w:tblGrid>
        <w:gridCol w:w="1737"/>
        <w:gridCol w:w="866"/>
        <w:gridCol w:w="866"/>
        <w:gridCol w:w="870"/>
        <w:gridCol w:w="1009"/>
        <w:gridCol w:w="930"/>
        <w:gridCol w:w="951"/>
        <w:gridCol w:w="2258"/>
      </w:tblGrid>
      <w:tr w:rsidR="00804CCA" w:rsidRPr="000578E2" w:rsidTr="000C0A96">
        <w:trPr>
          <w:trHeight w:val="1021"/>
        </w:trPr>
        <w:tc>
          <w:tcPr>
            <w:tcW w:w="915"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Return %</w:t>
            </w:r>
          </w:p>
        </w:tc>
        <w:tc>
          <w:tcPr>
            <w:tcW w:w="456"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1Mth</w:t>
            </w:r>
          </w:p>
        </w:tc>
        <w:tc>
          <w:tcPr>
            <w:tcW w:w="456"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3Mths</w:t>
            </w:r>
          </w:p>
        </w:tc>
        <w:tc>
          <w:tcPr>
            <w:tcW w:w="458"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6Mths</w:t>
            </w:r>
          </w:p>
        </w:tc>
        <w:tc>
          <w:tcPr>
            <w:tcW w:w="532"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1Yr</w:t>
            </w:r>
          </w:p>
        </w:tc>
        <w:tc>
          <w:tcPr>
            <w:tcW w:w="490" w:type="pct"/>
            <w:shd w:val="clear" w:color="auto" w:fill="DBDBDB" w:themeFill="accent3" w:themeFillTint="66"/>
            <w:vAlign w:val="center"/>
          </w:tcPr>
          <w:p w:rsidR="000E6AFB" w:rsidRPr="00F74523" w:rsidRDefault="00C55D8C"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w:t>
            </w:r>
            <w:r w:rsidR="00414E30" w:rsidRPr="00F74523">
              <w:rPr>
                <w:rFonts w:ascii="Open Sans Light" w:eastAsia="Hiragino Kaku Gothic Pro W6" w:hAnsi="Open Sans Light" w:cs="Open Sans Light"/>
                <w:b/>
                <w:bCs/>
                <w:sz w:val="20"/>
                <w:szCs w:val="20"/>
              </w:rPr>
              <w:t>Yrs</w:t>
            </w:r>
          </w:p>
        </w:tc>
        <w:tc>
          <w:tcPr>
            <w:tcW w:w="501" w:type="pct"/>
            <w:shd w:val="clear" w:color="auto" w:fill="DBDBDB" w:themeFill="accent3" w:themeFillTint="66"/>
            <w:vAlign w:val="center"/>
          </w:tcPr>
          <w:p w:rsidR="000E6AFB" w:rsidRPr="00F74523" w:rsidRDefault="00414E30"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5Yrs</w:t>
            </w:r>
          </w:p>
        </w:tc>
        <w:tc>
          <w:tcPr>
            <w:tcW w:w="1190" w:type="pct"/>
            <w:shd w:val="clear" w:color="auto" w:fill="DBDBDB" w:themeFill="accent3" w:themeFillTint="66"/>
            <w:vAlign w:val="center"/>
          </w:tcPr>
          <w:p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Since</w:t>
            </w:r>
            <w:r w:rsidRPr="00F74523">
              <w:rPr>
                <w:rFonts w:ascii="Open Sans Light" w:eastAsia="Hiragino Kaku Gothic Pro W6" w:hAnsi="Open Sans Light" w:cs="Open Sans Light"/>
                <w:b/>
                <w:bCs/>
                <w:sz w:val="20"/>
                <w:szCs w:val="20"/>
              </w:rPr>
              <w:br/>
              <w:t>Inception (</w:t>
            </w:r>
            <w:r>
              <w:rPr>
                <w:rFonts w:ascii="Open Sans Light" w:eastAsia="Hiragino Kaku Gothic Pro W6" w:hAnsi="Open Sans Light" w:cs="Open Sans Light"/>
                <w:b/>
                <w:bCs/>
                <w:sz w:val="20"/>
                <w:szCs w:val="20"/>
              </w:rPr>
              <w:t>29/10/2013</w:t>
            </w:r>
            <w:r w:rsidRPr="00F74523">
              <w:rPr>
                <w:rFonts w:ascii="Open Sans Light" w:eastAsia="Hiragino Kaku Gothic Pro W6" w:hAnsi="Open Sans Light" w:cs="Open Sans Light"/>
                <w:b/>
                <w:bCs/>
                <w:sz w:val="20"/>
                <w:szCs w:val="20"/>
              </w:rPr>
              <w:t>)</w:t>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Portfolio</w:t>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-1.81</w:t>
            </w:r>
            <w:r w:rsidRPr="00F74523">
              <w:rPr>
                <w:rFonts w:ascii="Open Sans Light" w:hAnsi="Open Sans Light" w:cs="Open Sans Light"/>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-2.76</w:t>
            </w:r>
            <w:r w:rsidRPr="00F74523">
              <w:rPr>
                <w:rFonts w:ascii="Open Sans Light" w:hAnsi="Open Sans Light" w:cs="Open Sans Light"/>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1.87</w:t>
            </w:r>
            <w:r w:rsidRPr="00F74523">
              <w:rPr>
                <w:rFonts w:ascii="Open Sans Light" w:hAnsi="Open Sans Light" w:cs="Open Sans Light"/>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18.26</w:t>
            </w:r>
            <w:r w:rsidRPr="00F74523">
              <w:rPr>
                <w:rFonts w:ascii="Open Sans Light" w:hAnsi="Open Sans Light" w:cs="Open Sans Light"/>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9.30</w:t>
            </w:r>
            <w:r w:rsidRPr="00F74523">
              <w:rPr>
                <w:rFonts w:ascii="Open Sans Light" w:hAnsi="Open Sans Light" w:cs="Open Sans Light"/>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Portfolio5Years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11.97</w:t>
            </w:r>
            <w:r>
              <w:rPr>
                <w:rFonts w:ascii="Open Sans Light" w:hAnsi="Open Sans Light" w:cs="Open Sans Light"/>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11.13</w:t>
            </w:r>
            <w:r w:rsidRPr="00F74523">
              <w:rPr>
                <w:rFonts w:ascii="Open Sans Light" w:hAnsi="Open Sans Light" w:cs="Open Sans Light"/>
                <w:color w:val="000000"/>
                <w:sz w:val="20"/>
                <w:szCs w:val="20"/>
              </w:rPr>
              <w:fldChar w:fldCharType="end"/>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Benchmark</w:t>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1.76</w:t>
            </w:r>
            <w:r w:rsidRPr="00F74523">
              <w:rPr>
                <w:rFonts w:ascii="Open Sans Light" w:hAnsi="Open Sans Light" w:cs="Open Sans Light"/>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1.01</w:t>
            </w:r>
            <w:r w:rsidRPr="00F74523">
              <w:rPr>
                <w:rFonts w:ascii="Open Sans Light" w:hAnsi="Open Sans Light" w:cs="Open Sans Light"/>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4.51</w:t>
            </w:r>
            <w:r w:rsidRPr="00F74523">
              <w:rPr>
                <w:rFonts w:ascii="Open Sans Light" w:hAnsi="Open Sans Light" w:cs="Open Sans Light"/>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14.78</w:t>
            </w:r>
            <w:r w:rsidRPr="00F74523">
              <w:rPr>
                <w:rFonts w:ascii="Open Sans Light" w:hAnsi="Open Sans Light" w:cs="Open Sans Light"/>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11.12</w:t>
            </w:r>
            <w:r w:rsidRPr="00F74523">
              <w:rPr>
                <w:rFonts w:ascii="Open Sans Light" w:hAnsi="Open Sans Light" w:cs="Open Sans Light"/>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Benchmark5Years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7.15</w:t>
            </w:r>
            <w:r>
              <w:rPr>
                <w:rFonts w:ascii="Open Sans Light" w:hAnsi="Open Sans Light" w:cs="Open Sans Light"/>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7.30</w:t>
            </w:r>
            <w:r w:rsidRPr="00F74523">
              <w:rPr>
                <w:rFonts w:ascii="Open Sans Light" w:hAnsi="Open Sans Light" w:cs="Open Sans Light"/>
                <w:color w:val="000000"/>
                <w:sz w:val="20"/>
                <w:szCs w:val="20"/>
              </w:rPr>
              <w:fldChar w:fldCharType="end"/>
            </w:r>
          </w:p>
        </w:tc>
      </w:tr>
      <w:tr w:rsidR="001F229A" w:rsidRPr="000578E2" w:rsidTr="000C0A96">
        <w:tc>
          <w:tcPr>
            <w:tcW w:w="915" w:type="pct"/>
            <w:shd w:val="clear" w:color="auto" w:fill="auto"/>
            <w:vAlign w:val="center"/>
          </w:tcPr>
          <w:p w:rsidR="000E6AFB" w:rsidRPr="00F74523" w:rsidRDefault="000E6AFB" w:rsidP="000E6AFB">
            <w:pPr>
              <w:ind w:left="-113"/>
              <w:jc w:val="center"/>
              <w:rPr>
                <w:rFonts w:ascii="Open Sans Light" w:eastAsia="Hiragino Kaku Gothic Pro W6" w:hAnsi="Open Sans Light" w:cs="Open Sans Light"/>
                <w:b/>
                <w:sz w:val="20"/>
                <w:szCs w:val="20"/>
              </w:rPr>
            </w:pPr>
            <w:r w:rsidRPr="00F74523">
              <w:rPr>
                <w:rFonts w:ascii="Open Sans Light" w:eastAsia="Hiragino Kaku Gothic Pro W6" w:hAnsi="Open Sans Light" w:cs="Open Sans Light"/>
                <w:b/>
                <w:sz w:val="20"/>
                <w:szCs w:val="20"/>
              </w:rPr>
              <w:t>Relative Performance</w:t>
            </w:r>
          </w:p>
        </w:tc>
        <w:tc>
          <w:tcPr>
            <w:tcW w:w="456"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-3.57</w:t>
            </w:r>
            <w:r w:rsidRPr="00F74523">
              <w:rPr>
                <w:rFonts w:ascii="Open Sans Light" w:hAnsi="Open Sans Light" w:cs="Open Sans Light"/>
                <w:b/>
                <w:color w:val="000000"/>
                <w:sz w:val="20"/>
                <w:szCs w:val="20"/>
              </w:rPr>
              <w:fldChar w:fldCharType="end"/>
            </w:r>
          </w:p>
        </w:tc>
        <w:tc>
          <w:tcPr>
            <w:tcW w:w="456"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-3.77</w:t>
            </w:r>
            <w:r w:rsidRPr="00F74523">
              <w:rPr>
                <w:rFonts w:ascii="Open Sans Light" w:hAnsi="Open Sans Light" w:cs="Open Sans Light"/>
                <w:b/>
                <w:color w:val="000000"/>
                <w:sz w:val="20"/>
                <w:szCs w:val="20"/>
              </w:rPr>
              <w:fldChar w:fldCharType="end"/>
            </w:r>
          </w:p>
        </w:tc>
        <w:tc>
          <w:tcPr>
            <w:tcW w:w="458"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Relative6Month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-2.64</w:t>
            </w:r>
            <w:r w:rsidRPr="00F74523">
              <w:rPr>
                <w:rFonts w:ascii="Open Sans Light" w:hAnsi="Open Sans Light" w:cs="Open Sans Light"/>
                <w:b/>
                <w:color w:val="000000"/>
                <w:sz w:val="20"/>
                <w:szCs w:val="20"/>
              </w:rPr>
              <w:fldChar w:fldCharType="end"/>
            </w:r>
          </w:p>
        </w:tc>
        <w:tc>
          <w:tcPr>
            <w:tcW w:w="532"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Relative12Month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3.48</w:t>
            </w:r>
            <w:r w:rsidRPr="00F74523">
              <w:rPr>
                <w:rFonts w:ascii="Open Sans Light" w:hAnsi="Open Sans Light" w:cs="Open Sans Light"/>
                <w:b/>
                <w:color w:val="000000"/>
                <w:sz w:val="20"/>
                <w:szCs w:val="20"/>
              </w:rPr>
              <w:fldChar w:fldCharType="end"/>
            </w:r>
          </w:p>
        </w:tc>
        <w:tc>
          <w:tcPr>
            <w:tcW w:w="490" w:type="pct"/>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Relative3Years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-1.82</w:t>
            </w:r>
            <w:r w:rsidRPr="00F74523">
              <w:rPr>
                <w:rFonts w:ascii="Open Sans Light" w:hAnsi="Open Sans Light" w:cs="Open Sans Light"/>
                <w:b/>
                <w:color w:val="000000"/>
                <w:sz w:val="20"/>
                <w:szCs w:val="20"/>
              </w:rPr>
              <w:fldChar w:fldCharType="end"/>
            </w:r>
          </w:p>
        </w:tc>
        <w:tc>
          <w:tcPr>
            <w:tcW w:w="501" w:type="pct"/>
            <w:vAlign w:val="center"/>
          </w:tcPr>
          <w:p w:rsidR="000E6AFB" w:rsidRPr="00F74523" w:rsidRDefault="00693102" w:rsidP="000E6AFB">
            <w:pPr>
              <w:jc w:val="center"/>
              <w:rPr>
                <w:rFonts w:ascii="Open Sans Light" w:hAnsi="Open Sans Light" w:cs="Open Sans Light"/>
                <w:b/>
                <w:color w:val="000000"/>
                <w:sz w:val="20"/>
                <w:szCs w:val="20"/>
              </w:rPr>
            </w:pPr>
            <w:r>
              <w:rPr>
                <w:rFonts w:ascii="Open Sans Light" w:hAnsi="Open Sans Light" w:cs="Open Sans Light"/>
                <w:b/>
                <w:color w:val="000000"/>
                <w:sz w:val="20"/>
                <w:szCs w:val="20"/>
              </w:rPr>
              <w:fldChar w:fldCharType="begin"/>
            </w:r>
            <w:r>
              <w:rPr>
                <w:rFonts w:ascii="Open Sans Light" w:hAnsi="Open Sans Light" w:cs="Open Sans Light"/>
                <w:b/>
                <w:color w:val="000000"/>
                <w:sz w:val="20"/>
                <w:szCs w:val="20"/>
              </w:rPr>
              <w:instrText xml:space="preserve"> DOCPROPERTY  Relative5Years  \* MERGEFORMAT </w:instrText>
            </w:r>
            <w:r>
              <w:rPr>
                <w:rFonts w:ascii="Open Sans Light" w:hAnsi="Open Sans Light" w:cs="Open Sans Light"/>
                <w:b/>
                <w:color w:val="000000"/>
                <w:sz w:val="20"/>
                <w:szCs w:val="20"/>
              </w:rPr>
              <w:fldChar w:fldCharType="separate"/>
            </w:r>
            <w:r>
              <w:rPr>
                <w:rFonts w:ascii="Open Sans Light" w:hAnsi="Open Sans Light" w:cs="Open Sans Light"/>
                <w:b/>
                <w:color w:val="000000"/>
                <w:sz w:val="20"/>
                <w:szCs w:val="20"/>
              </w:rPr>
              <w:t>4.82</w:t>
            </w:r>
            <w:r>
              <w:rPr>
                <w:rFonts w:ascii="Open Sans Light" w:hAnsi="Open Sans Light" w:cs="Open Sans Light"/>
                <w:b/>
                <w:color w:val="000000"/>
                <w:sz w:val="20"/>
                <w:szCs w:val="20"/>
              </w:rPr>
              <w:fldChar w:fldCharType="end"/>
            </w:r>
          </w:p>
        </w:tc>
        <w:tc>
          <w:tcPr>
            <w:tcW w:w="1190" w:type="pct"/>
            <w:shd w:val="clear" w:color="auto" w:fill="auto"/>
            <w:vAlign w:val="center"/>
          </w:tcPr>
          <w:p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RelativeInceptionPa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3.83</w:t>
            </w:r>
            <w:r w:rsidRPr="00F74523">
              <w:rPr>
                <w:rFonts w:ascii="Open Sans Light" w:hAnsi="Open Sans Light" w:cs="Open Sans Light"/>
                <w:b/>
                <w:color w:val="000000"/>
                <w:sz w:val="20"/>
                <w:szCs w:val="20"/>
              </w:rPr>
              <w:fldChar w:fldCharType="end"/>
            </w:r>
          </w:p>
        </w:tc>
      </w:tr>
    </w:tbl>
    <w:p w:rsidR="008D5309" w:rsidRPr="00F74523" w:rsidRDefault="008D5309" w:rsidP="008D5309">
      <w:pPr>
        <w:spacing w:after="0"/>
        <w:jc w:val="both"/>
        <w:rPr>
          <w:rFonts w:ascii="Open Sans Light" w:eastAsia="Hiragino Kaku Gothic Pro W6" w:hAnsi="Open Sans Light" w:cs="Open Sans Light"/>
          <w:sz w:val="16"/>
          <w:szCs w:val="16"/>
        </w:rPr>
      </w:pPr>
      <w:r w:rsidRPr="00F74523">
        <w:rPr>
          <w:rFonts w:ascii="Open Sans Light" w:eastAsia="Hiragino Kaku Gothic Pro W6" w:hAnsi="Open Sans Light" w:cs="Open Sans Light"/>
          <w:sz w:val="16"/>
          <w:szCs w:val="16"/>
        </w:rPr>
        <w:t xml:space="preserve">The table above sets out the investment performance returns (AFTER investment management fees, but BEFORE administration fees, </w:t>
      </w:r>
      <w:proofErr w:type="gramStart"/>
      <w:r w:rsidRPr="00F74523">
        <w:rPr>
          <w:rFonts w:ascii="Open Sans Light" w:eastAsia="Hiragino Kaku Gothic Pro W6" w:hAnsi="Open Sans Light" w:cs="Open Sans Light"/>
          <w:sz w:val="16"/>
          <w:szCs w:val="16"/>
        </w:rPr>
        <w:t>performance based</w:t>
      </w:r>
      <w:proofErr w:type="gramEnd"/>
      <w:r w:rsidRPr="00F74523">
        <w:rPr>
          <w:rFonts w:ascii="Open Sans Light" w:eastAsia="Hiragino Kaku Gothic Pro W6" w:hAnsi="Open Sans Light" w:cs="Open Sans Light"/>
          <w:sz w:val="16"/>
          <w:szCs w:val="16"/>
        </w:rPr>
        <w:t xml:space="preserve">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QUARTERLY REVIEW</w:t>
      </w:r>
    </w:p>
    <w:p w:rsidR="008D5309" w:rsidRDefault="007804B7" w:rsidP="00C65253">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The portfolio limped home in the second quarter, slightly underperforming a flat market for the quarter, although maintaining an outperformance for the twelve months, with the </w:t>
      </w:r>
      <w:proofErr w:type="gramStart"/>
      <w:r>
        <w:rPr>
          <w:rFonts w:ascii="Open Sans Light" w:eastAsia="Hiragino Kaku Gothic Pro W6" w:hAnsi="Open Sans Light" w:cs="Open Sans Light"/>
        </w:rPr>
        <w:t>five year</w:t>
      </w:r>
      <w:proofErr w:type="gramEnd"/>
      <w:r>
        <w:rPr>
          <w:rFonts w:ascii="Open Sans Light" w:eastAsia="Hiragino Kaku Gothic Pro W6" w:hAnsi="Open Sans Light" w:cs="Open Sans Light"/>
        </w:rPr>
        <w:t xml:space="preserve"> average dipping to 11.97% p.a. On closer inspection the damage was very late in June, when both our gold stocks and our latest investment, </w:t>
      </w:r>
      <w:proofErr w:type="spellStart"/>
      <w:r>
        <w:rPr>
          <w:rFonts w:ascii="Open Sans Light" w:eastAsia="Hiragino Kaku Gothic Pro W6" w:hAnsi="Open Sans Light" w:cs="Open Sans Light"/>
        </w:rPr>
        <w:t>Droneshield</w:t>
      </w:r>
      <w:proofErr w:type="spellEnd"/>
      <w:r>
        <w:rPr>
          <w:rFonts w:ascii="Open Sans Light" w:eastAsia="Hiragino Kaku Gothic Pro W6" w:hAnsi="Open Sans Light" w:cs="Open Sans Light"/>
        </w:rPr>
        <w:t xml:space="preserve"> (DRO.ASX) all dropped about 20%+ in the final week</w:t>
      </w:r>
      <w:r w:rsidR="00BA545D">
        <w:rPr>
          <w:rFonts w:ascii="Open Sans Light" w:eastAsia="Hiragino Kaku Gothic Pro W6" w:hAnsi="Open Sans Light" w:cs="Open Sans Light"/>
        </w:rPr>
        <w:t xml:space="preserve"> or so</w:t>
      </w:r>
      <w:r>
        <w:rPr>
          <w:rFonts w:ascii="Open Sans Light" w:eastAsia="Hiragino Kaku Gothic Pro W6" w:hAnsi="Open Sans Light" w:cs="Open Sans Light"/>
        </w:rPr>
        <w:t xml:space="preserve">. DRO slipped from over 32c down to a low of 21.5c as two of the directors sold down their holdings ahead of the close of the tax year. </w:t>
      </w:r>
    </w:p>
    <w:p w:rsidR="007804B7" w:rsidRPr="00F74523" w:rsidRDefault="007804B7" w:rsidP="00C65253">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 xml:space="preserve">Normally, director selling is a negative sign, but although their reasons were unknown to me, I viewed it as an opportunity to acquire </w:t>
      </w:r>
      <w:r w:rsidR="00BA545D">
        <w:rPr>
          <w:rFonts w:ascii="Open Sans Light" w:eastAsia="Hiragino Kaku Gothic Pro W6" w:hAnsi="Open Sans Light" w:cs="Open Sans Light"/>
        </w:rPr>
        <w:t>a potential multi-bagger small company again at a very attractive entry. Having already paid 30c in the recent issue, buying in bulk at around 23c average was a no brainer. As a consequence, it ended the quarter as our largest holding!</w:t>
      </w:r>
    </w:p>
    <w:p w:rsidR="00382DB8" w:rsidRPr="00F74523" w:rsidRDefault="00382DB8" w:rsidP="00C65253">
      <w:pPr>
        <w:spacing w:before="120"/>
        <w:jc w:val="both"/>
        <w:rPr>
          <w:rFonts w:ascii="Open Sans Light" w:eastAsia="Hiragino Kaku Gothic Pro W6" w:hAnsi="Open Sans Light" w:cs="Open Sans Light"/>
        </w:rPr>
      </w:pPr>
    </w:p>
    <w:p w:rsidR="008F3B18" w:rsidRPr="00F74523" w:rsidRDefault="008F3B18" w:rsidP="00F74523">
      <w:pPr>
        <w:jc w:val="both"/>
        <w:rPr>
          <w:rFonts w:ascii="Open Sans Light" w:eastAsia="Hiragino Kaku Gothic Pro W6" w:hAnsi="Open Sans Light" w:cs="Open Sans Light"/>
          <w:b/>
          <w:color w:val="1F497D"/>
        </w:rPr>
      </w:pP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TOP </w:t>
      </w:r>
      <w:r>
        <w:rPr>
          <w:rFonts w:ascii="DIN Next LT Pro Bold Condensed" w:hAnsi="DIN Next LT Pro Bold Condensed"/>
          <w:b w:val="0"/>
          <w:bCs w:val="0"/>
          <w:color w:val="293C8B"/>
          <w:sz w:val="28"/>
          <w:szCs w:val="28"/>
        </w:rPr>
        <w:t>5</w:t>
      </w:r>
      <w:r w:rsidRPr="00F74523">
        <w:rPr>
          <w:rFonts w:ascii="DIN Next LT Pro Bold Condensed" w:hAnsi="DIN Next LT Pro Bold Condensed"/>
          <w:b w:val="0"/>
          <w:bCs w:val="0"/>
          <w:color w:val="293C8B"/>
          <w:sz w:val="28"/>
          <w:szCs w:val="28"/>
        </w:rPr>
        <w:t xml:space="preserve"> STOCKS BY WEIGHT AS AT </w:t>
      </w:r>
      <w:r>
        <w:rPr>
          <w:rFonts w:ascii="DIN Next LT Pro Bold Condensed" w:hAnsi="DIN Next LT Pro Bold Condensed"/>
          <w:b w:val="0"/>
          <w:bCs w:val="0"/>
          <w:color w:val="293C8B"/>
          <w:sz w:val="28"/>
          <w:szCs w:val="28"/>
        </w:rPr>
        <w:t>30 JUNE 2023</w:t>
      </w:r>
    </w:p>
    <w:tbl>
      <w:tblPr>
        <w:tblW w:w="0" w:type="auto"/>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C65253" w:rsidTr="00F74523">
        <w:tc>
          <w:tcPr>
            <w:tcW w:w="3827" w:type="dxa"/>
            <w:shd w:val="clear" w:color="auto" w:fill="DBDBDB" w:themeFill="accent3" w:themeFillTint="66"/>
            <w:tcMar>
              <w:top w:w="45" w:type="dxa"/>
              <w:bottom w:w="45" w:type="dxa"/>
            </w:tcMar>
            <w:vAlign w:val="center"/>
          </w:tcPr>
          <w:p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Company Name</w:t>
            </w:r>
          </w:p>
        </w:tc>
        <w:tc>
          <w:tcPr>
            <w:tcW w:w="3119" w:type="dxa"/>
            <w:shd w:val="clear" w:color="auto" w:fill="DBDBDB" w:themeFill="accent3" w:themeFillTint="66"/>
            <w:tcMar>
              <w:top w:w="45" w:type="dxa"/>
              <w:bottom w:w="45" w:type="dxa"/>
            </w:tcMar>
            <w:vAlign w:val="center"/>
          </w:tcPr>
          <w:p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Sector</w:t>
            </w:r>
          </w:p>
        </w:tc>
      </w:tr>
      <w:tr w:rsidR="00E03484">
        <w:tc>
          <w:tcPr>
            <w:tcW w:w="2310" w:type="dxa"/>
          </w:tcPr>
          <w:p w:rsidR="00E03484" w:rsidRDefault="00000000">
            <w:r>
              <w:t>DRONESHIELD LIMITED ORDINARY</w:t>
            </w:r>
          </w:p>
        </w:tc>
        <w:tc>
          <w:tcPr>
            <w:tcW w:w="2310" w:type="dxa"/>
          </w:tcPr>
          <w:p w:rsidR="00E03484" w:rsidRDefault="00000000">
            <w:r>
              <w:t>Information Technology</w:t>
            </w:r>
          </w:p>
        </w:tc>
      </w:tr>
      <w:tr w:rsidR="00E03484">
        <w:tc>
          <w:tcPr>
            <w:tcW w:w="2310" w:type="dxa"/>
          </w:tcPr>
          <w:p w:rsidR="00E03484" w:rsidRDefault="00000000">
            <w:r>
              <w:t>ELDERS LIMITED ORDINARY</w:t>
            </w:r>
          </w:p>
        </w:tc>
        <w:tc>
          <w:tcPr>
            <w:tcW w:w="2310" w:type="dxa"/>
          </w:tcPr>
          <w:p w:rsidR="00E03484" w:rsidRDefault="00000000">
            <w:r>
              <w:t>Consumer Staples</w:t>
            </w:r>
          </w:p>
        </w:tc>
      </w:tr>
      <w:tr w:rsidR="00E03484">
        <w:tc>
          <w:tcPr>
            <w:tcW w:w="2310" w:type="dxa"/>
          </w:tcPr>
          <w:p w:rsidR="00E03484" w:rsidRDefault="00000000">
            <w:r>
              <w:t>BELLEVUE GOLD LTD ORDINARY</w:t>
            </w:r>
          </w:p>
        </w:tc>
        <w:tc>
          <w:tcPr>
            <w:tcW w:w="2310" w:type="dxa"/>
          </w:tcPr>
          <w:p w:rsidR="00E03484" w:rsidRDefault="00000000">
            <w:r>
              <w:t>Materials</w:t>
            </w:r>
          </w:p>
        </w:tc>
      </w:tr>
      <w:tr w:rsidR="00E03484">
        <w:tc>
          <w:tcPr>
            <w:tcW w:w="2310" w:type="dxa"/>
          </w:tcPr>
          <w:p w:rsidR="00E03484" w:rsidRDefault="00000000">
            <w:r>
              <w:t>HUB24 LTD ORDINARY</w:t>
            </w:r>
          </w:p>
        </w:tc>
        <w:tc>
          <w:tcPr>
            <w:tcW w:w="2310" w:type="dxa"/>
          </w:tcPr>
          <w:p w:rsidR="00E03484" w:rsidRDefault="00000000">
            <w:r>
              <w:t>Financials</w:t>
            </w:r>
          </w:p>
        </w:tc>
      </w:tr>
      <w:tr w:rsidR="00E03484">
        <w:tc>
          <w:tcPr>
            <w:tcW w:w="2310" w:type="dxa"/>
          </w:tcPr>
          <w:p w:rsidR="00E03484" w:rsidRDefault="00000000">
            <w:r>
              <w:t>JAMES HARDIE INDUST PLC CHESS DEPOSITARY INT</w:t>
            </w:r>
          </w:p>
        </w:tc>
        <w:tc>
          <w:tcPr>
            <w:tcW w:w="2310" w:type="dxa"/>
          </w:tcPr>
          <w:p w:rsidR="00E03484" w:rsidRDefault="00000000">
            <w:r>
              <w:t>Materials</w:t>
            </w:r>
          </w:p>
        </w:tc>
      </w:tr>
    </w:tbl>
    <w:p w:rsidR="008833C7" w:rsidRPr="00F74523" w:rsidRDefault="008833C7" w:rsidP="008F3B18">
      <w:pPr>
        <w:pStyle w:val="Heading2"/>
        <w:spacing w:before="120" w:after="60"/>
        <w:rPr>
          <w:rFonts w:ascii="Open Sans Light" w:hAnsi="Open Sans Light" w:cs="Open Sans Light"/>
        </w:rPr>
      </w:pPr>
    </w:p>
    <w:p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MARKET OUTLOOK</w:t>
      </w:r>
    </w:p>
    <w:p w:rsidR="00BA545D" w:rsidRDefault="00BA545D" w:rsidP="00BA545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The big topic is at what point will interest rates peak, and are we heading for a 1987 style crash as equity markets continue to defy gravity by rising as negative factors like impending recessions, stagflation and rising interest rates threaten the level of valuations?</w:t>
      </w:r>
    </w:p>
    <w:p w:rsidR="00BA545D" w:rsidRDefault="00BA545D" w:rsidP="00FA384A">
      <w:pPr>
        <w:spacing w:before="120"/>
        <w:jc w:val="both"/>
        <w:rPr>
          <w:rFonts w:ascii="Open Sans Light" w:eastAsia="Hiragino Kaku Gothic Pro W6" w:hAnsi="Open Sans Light" w:cs="Open Sans Light"/>
        </w:rPr>
      </w:pPr>
      <w:r w:rsidRPr="00BA545D">
        <w:rPr>
          <w:rFonts w:ascii="Open Sans Light" w:eastAsia="Hiragino Kaku Gothic Pro W6" w:hAnsi="Open Sans Light" w:cs="Open Sans Light"/>
        </w:rPr>
        <w:t>To be honest I don</w:t>
      </w:r>
      <w:r>
        <w:rPr>
          <w:rFonts w:ascii="Open Sans Light" w:eastAsia="Hiragino Kaku Gothic Pro W6" w:hAnsi="Open Sans Light" w:cs="Open Sans Light"/>
        </w:rPr>
        <w:t xml:space="preserve">’t know the answer. </w:t>
      </w:r>
      <w:r w:rsidR="00FA384A">
        <w:rPr>
          <w:rFonts w:ascii="Open Sans Light" w:eastAsia="Hiragino Kaku Gothic Pro W6" w:hAnsi="Open Sans Light" w:cs="Open Sans Light"/>
        </w:rPr>
        <w:t xml:space="preserve">The RBA here is trying not to raise rates, and now lagging US interest rates which is unusual. </w:t>
      </w:r>
      <w:r>
        <w:rPr>
          <w:rFonts w:ascii="Open Sans Light" w:eastAsia="Hiragino Kaku Gothic Pro W6" w:hAnsi="Open Sans Light" w:cs="Open Sans Light"/>
        </w:rPr>
        <w:t xml:space="preserve">We are seeing some great opportunities too, but I remain uncomfortable that the US markets in particular are living dangerously. As a </w:t>
      </w:r>
      <w:proofErr w:type="gramStart"/>
      <w:r>
        <w:rPr>
          <w:rFonts w:ascii="Open Sans Light" w:eastAsia="Hiragino Kaku Gothic Pro W6" w:hAnsi="Open Sans Light" w:cs="Open Sans Light"/>
        </w:rPr>
        <w:t>consequence</w:t>
      </w:r>
      <w:proofErr w:type="gramEnd"/>
      <w:r>
        <w:rPr>
          <w:rFonts w:ascii="Open Sans Light" w:eastAsia="Hiragino Kaku Gothic Pro W6" w:hAnsi="Open Sans Light" w:cs="Open Sans Light"/>
        </w:rPr>
        <w:t xml:space="preserve"> a significant portion of the portfolio is defensively positioned. </w:t>
      </w:r>
    </w:p>
    <w:p w:rsidR="00BA545D" w:rsidRDefault="00BA545D" w:rsidP="004C72DD">
      <w:pPr>
        <w:spacing w:before="120"/>
        <w:jc w:val="both"/>
        <w:rPr>
          <w:rFonts w:ascii="Open Sans Light" w:eastAsia="Hiragino Kaku Gothic Pro W6" w:hAnsi="Open Sans Light" w:cs="Open Sans Light"/>
        </w:rPr>
      </w:pPr>
      <w:r>
        <w:rPr>
          <w:rFonts w:ascii="Open Sans Light" w:eastAsia="Hiragino Kaku Gothic Pro W6" w:hAnsi="Open Sans Light" w:cs="Open Sans Light"/>
        </w:rPr>
        <w:t>At the time of writing, DRO ha</w:t>
      </w:r>
      <w:r w:rsidR="00FA384A">
        <w:rPr>
          <w:rFonts w:ascii="Open Sans Light" w:eastAsia="Hiragino Kaku Gothic Pro W6" w:hAnsi="Open Sans Light" w:cs="Open Sans Light"/>
        </w:rPr>
        <w:t>s</w:t>
      </w:r>
      <w:r>
        <w:rPr>
          <w:rFonts w:ascii="Open Sans Light" w:eastAsia="Hiragino Kaku Gothic Pro W6" w:hAnsi="Open Sans Light" w:cs="Open Sans Light"/>
        </w:rPr>
        <w:t xml:space="preserve"> bounced back from its June close of 23c and is trading at 33c. Likewise, Bellevue Gold has rebounded despite the gold price marking time below $2000. </w:t>
      </w:r>
      <w:proofErr w:type="gramStart"/>
      <w:r w:rsidR="00FA384A">
        <w:rPr>
          <w:rFonts w:ascii="Open Sans Light" w:eastAsia="Hiragino Kaku Gothic Pro W6" w:hAnsi="Open Sans Light" w:cs="Open Sans Light"/>
        </w:rPr>
        <w:t>So</w:t>
      </w:r>
      <w:proofErr w:type="gramEnd"/>
      <w:r w:rsidR="00FA384A">
        <w:rPr>
          <w:rFonts w:ascii="Open Sans Light" w:eastAsia="Hiragino Kaku Gothic Pro W6" w:hAnsi="Open Sans Light" w:cs="Open Sans Light"/>
        </w:rPr>
        <w:t xml:space="preserve"> the portfolio has had a free kick for the quarter which helps. </w:t>
      </w:r>
    </w:p>
    <w:p w:rsidR="00FA384A" w:rsidRPr="00BA545D" w:rsidRDefault="00FA384A" w:rsidP="004C72DD">
      <w:pPr>
        <w:spacing w:before="120"/>
        <w:jc w:val="both"/>
        <w:rPr>
          <w:rFonts w:ascii="Open Sans Light" w:eastAsia="Hiragino Kaku Gothic Pro W6" w:hAnsi="Open Sans Light" w:cs="Open Sans Light"/>
        </w:rPr>
      </w:pPr>
    </w:p>
    <w:p w:rsidR="009E1D82" w:rsidRPr="00BA545D" w:rsidRDefault="00E0519C" w:rsidP="003B282F">
      <w:pPr>
        <w:autoSpaceDE w:val="0"/>
        <w:autoSpaceDN w:val="0"/>
        <w:rPr>
          <w:rFonts w:ascii="DIN Next LT Pro Bold Condensed" w:hAnsi="DIN Next LT Pro Bold Condensed"/>
          <w:color w:val="293C8B"/>
          <w:sz w:val="28"/>
          <w:szCs w:val="28"/>
          <w:lang w:val="it-IT" w:eastAsia="x-none"/>
        </w:rPr>
      </w:pPr>
      <w:r w:rsidRPr="00BA545D">
        <w:rPr>
          <w:rFonts w:ascii="Open Sans Light" w:eastAsia="Hiragino Kaku Gothic Pro W6" w:hAnsi="Open Sans Light" w:cs="Open Sans Light"/>
        </w:rPr>
        <w:br w:type="page"/>
      </w:r>
      <w:r w:rsidR="00FA00EF" w:rsidRPr="00BA545D">
        <w:rPr>
          <w:rFonts w:ascii="DIN Next LT Pro Bold Condensed" w:hAnsi="DIN Next LT Pro Bold Condensed"/>
          <w:color w:val="293C8B"/>
          <w:sz w:val="28"/>
          <w:szCs w:val="28"/>
          <w:lang w:val="it-IT"/>
        </w:rPr>
        <w:lastRenderedPageBreak/>
        <w:t>IMPORTANT INFORMATION</w:t>
      </w:r>
    </w:p>
    <w:p w:rsidR="003B282F" w:rsidRPr="00F74523" w:rsidRDefault="003B282F" w:rsidP="003B282F">
      <w:pPr>
        <w:autoSpaceDE w:val="0"/>
        <w:autoSpaceDN w:val="0"/>
        <w:rPr>
          <w:rFonts w:ascii="Open Sans Light" w:hAnsi="Open Sans Light" w:cs="Open Sans Light"/>
          <w:sz w:val="18"/>
          <w:szCs w:val="18"/>
          <w:highlight w:val="yellow"/>
          <w:lang w:val="en-US"/>
        </w:rPr>
      </w:pPr>
      <w:r w:rsidRPr="00F74523">
        <w:rPr>
          <w:rFonts w:ascii="Open Sans Light" w:hAnsi="Open Sans Light" w:cs="Open Sans Light"/>
          <w:sz w:val="18"/>
          <w:szCs w:val="18"/>
          <w:lang w:val="en-US"/>
        </w:rPr>
        <w:t xml:space="preserve">The financial commentary contained within this quarterly report has been prepared and provided by </w:t>
      </w:r>
      <w:r>
        <w:rPr>
          <w:rFonts w:ascii="Open Sans Light" w:hAnsi="Open Sans Light" w:cs="Open Sans Light"/>
          <w:sz w:val="18"/>
          <w:szCs w:val="18"/>
        </w:rPr>
        <w:t>Aldersley Capital Pty Ltd</w:t>
      </w:r>
      <w:r w:rsidRPr="008E1612">
        <w:rPr>
          <w:rFonts w:ascii="Open Sans Light" w:hAnsi="Open Sans Light" w:cs="Open Sans Light"/>
          <w:sz w:val="18"/>
          <w:szCs w:val="18"/>
        </w:rPr>
        <w:t xml:space="preserve"> (</w:t>
      </w:r>
      <w:r>
        <w:rPr>
          <w:rFonts w:ascii="Open Sans Light" w:hAnsi="Open Sans Light" w:cs="Open Sans Light"/>
          <w:sz w:val="18"/>
          <w:szCs w:val="18"/>
        </w:rPr>
        <w:t>ABN 14 002 972 901) a corporate authorised representative (No. 420193) of Andika Pty Ltd (ABN 41 117 403 326 and AFSL 297069</w:t>
      </w:r>
      <w:r w:rsidRPr="008E1612">
        <w:rPr>
          <w:rFonts w:ascii="Open Sans Light" w:hAnsi="Open Sans Light" w:cs="Open Sans Light"/>
          <w:sz w:val="18"/>
          <w:szCs w:val="18"/>
        </w:rPr>
        <w:t>)</w:t>
      </w:r>
      <w:r w:rsidRPr="009B2573">
        <w:rPr>
          <w:rFonts w:ascii="Open Sans Light" w:hAnsi="Open Sans Light" w:cs="Open Sans Light"/>
          <w:sz w:val="18"/>
          <w:szCs w:val="18"/>
        </w:rPr>
        <w:t>,</w:t>
      </w:r>
      <w:r w:rsidRPr="00F74523">
        <w:rPr>
          <w:rFonts w:ascii="Open Sans Light" w:hAnsi="Open Sans Light" w:cs="Open Sans Light"/>
          <w:sz w:val="18"/>
          <w:szCs w:val="18"/>
        </w:rPr>
        <w:t xml:space="preserve"> who is the Portfolio Manager of the managed portfolio options available through the HUB24 Managed Portfolio Service.</w:t>
      </w:r>
    </w:p>
    <w:p w:rsidR="003B282F" w:rsidRPr="008E1612" w:rsidRDefault="003B282F" w:rsidP="003B282F">
      <w:pPr>
        <w:autoSpaceDE w:val="0"/>
        <w:autoSpaceDN w:val="0"/>
        <w:snapToGrid w:val="0"/>
        <w:jc w:val="both"/>
        <w:rPr>
          <w:rFonts w:ascii="Open Sans Light" w:hAnsi="Open Sans Light" w:cs="Open Sans Light"/>
          <w:sz w:val="18"/>
          <w:szCs w:val="18"/>
          <w:highlight w:val="yellow"/>
          <w:lang w:val="en-US"/>
        </w:rPr>
      </w:pPr>
    </w:p>
    <w:p w:rsidR="003B282F" w:rsidRPr="00F74523" w:rsidRDefault="003B282F" w:rsidP="003B282F">
      <w:pPr>
        <w:jc w:val="both"/>
        <w:rPr>
          <w:rFonts w:ascii="Open Sans Light" w:hAnsi="Open Sans Light" w:cs="Open Sans Light"/>
          <w:sz w:val="18"/>
          <w:szCs w:val="18"/>
        </w:rPr>
      </w:pPr>
      <w:r w:rsidRPr="00F74523">
        <w:rPr>
          <w:rFonts w:ascii="Open Sans Light" w:hAnsi="Open Sans Light" w:cs="Open Sans Light"/>
          <w:sz w:val="18"/>
          <w:szCs w:val="18"/>
        </w:rPr>
        <w:t xml:space="preserve">The information in this report is general information only and does not take into account your individual objectives, financial situation, needs or circumstances. </w:t>
      </w:r>
      <w:r w:rsidRPr="00F74523">
        <w:rPr>
          <w:rFonts w:ascii="Open Sans Light" w:hAnsi="Open Sans Light" w:cs="Open Sans Light"/>
          <w:sz w:val="18"/>
          <w:szCs w:val="18"/>
          <w:lang w:val="en-US"/>
        </w:rPr>
        <w:t xml:space="preserve">The information is not intended to be financial product advice or legal advice. </w:t>
      </w:r>
      <w:r w:rsidRPr="00F74523">
        <w:rPr>
          <w:rFonts w:ascii="Open Sans Light" w:hAnsi="Open Sans Light" w:cs="Open Sans Light"/>
          <w:sz w:val="18"/>
          <w:szCs w:val="18"/>
        </w:rPr>
        <w:t xml:space="preserve">The suitability of the HUB24 Managed Portfolio Service to your needs and the suitability of a particular Managed Portfolio option depends on your individual circumstances and objectives and should be discussed with your adviser. Potential investors must read the Financial Services Guide (‘FSG’), target market determination (‘TMD’) and HUB24 Managed Portfolio Service Product Disclosure Statement (‘PDS’), along with any accompanying materials. </w:t>
      </w:r>
    </w:p>
    <w:p w:rsidR="003B282F" w:rsidRPr="00F74523" w:rsidRDefault="003B282F" w:rsidP="003B282F">
      <w:pPr>
        <w:jc w:val="both"/>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Ironbark Asset Management (Fund Services) Limited ABN 63 116 232 154 AFSL 298626 (‘Ironbark’, ‘Responsible Entity’, ‘we’, ‘us’, or ‘our’) is the issuer of the PDS and TMD and is the responsible entity of the HUB24 Managed Portfolio Service ARSN 645 033 941 ('HUB24 Managed Portfolio Service', 'Scheme'). The HUB24 Managed Portfolio Service is a non-unitised registered managed investment scheme. The information contained in this document is not intended to be a definitive statement on the subject matter nor an endorsement that this Portfolio is appropriate for you and should not be relied upon in making a decision to invest in this Service or Fund.</w:t>
      </w:r>
    </w:p>
    <w:p w:rsidR="003B282F" w:rsidRPr="00F74523" w:rsidRDefault="003B282F" w:rsidP="003B282F">
      <w:pPr>
        <w:jc w:val="both"/>
        <w:rPr>
          <w:rFonts w:ascii="Open Sans Light" w:hAnsi="Open Sans Light" w:cs="Open Sans Light"/>
          <w:sz w:val="18"/>
          <w:szCs w:val="18"/>
        </w:rPr>
      </w:pPr>
    </w:p>
    <w:p w:rsidR="003B282F" w:rsidRPr="00F74523" w:rsidRDefault="009B2573" w:rsidP="003B282F">
      <w:pPr>
        <w:autoSpaceDE w:val="0"/>
        <w:autoSpaceDN w:val="0"/>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F74523">
        <w:rPr>
          <w:rFonts w:ascii="Open Sans Light" w:hAnsi="Open Sans Light" w:cs="Open Sans Light"/>
          <w:sz w:val="18"/>
          <w:szCs w:val="18"/>
        </w:rPr>
        <w:t xml:space="preserve"> has designed the Managed Portfolio options in Part 2 of the PDS offered through the HUB24 Managed Portfolio Service. No representations or warranties express or implied, are made as to the accuracy or completeness of the information, opinions and conclusions contained in this report. Ironbark have relied upon and assumed, without independent verification, the accuracy and completeness of all information available and provided to Ironbark. </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To the extent permitted by law, Ironbark, its employees, consultants, advisers, officers, and representatives are not liable for any loss or damage arising as a result of reliance placed on the contents of this document. While any forecasts, estimates and opinions in this material are made on a reasonable basis, actual future results and operations may differ materially from the forecasts, estimates and opinions set out in this material. </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No guarantee is made as to the repayment of capital or the performance of any product or rate of return referred to in this material is made by Ironbark. Past performance is not a reliable indicator of future performance. Any investment is subject to investment risk, including delays on the payment of withdrawal proceeds and the loss of income or the principal invested. This document is not intended for distribution to, or use by, any person or entity in any jurisdiction or country where such distribution or use would be contrary to local law or regulation.</w:t>
      </w:r>
    </w:p>
    <w:p w:rsidR="003B282F" w:rsidRPr="00F74523" w:rsidRDefault="003B282F" w:rsidP="003B282F">
      <w:pPr>
        <w:autoSpaceDE w:val="0"/>
        <w:autoSpaceDN w:val="0"/>
        <w:rPr>
          <w:rFonts w:ascii="Open Sans Light" w:hAnsi="Open Sans Light" w:cs="Open Sans Light"/>
          <w:sz w:val="18"/>
          <w:szCs w:val="18"/>
        </w:rPr>
      </w:pPr>
    </w:p>
    <w:p w:rsidR="003B282F" w:rsidRPr="00F74523" w:rsidRDefault="003B282F" w:rsidP="003B282F">
      <w:pPr>
        <w:autoSpaceDE w:val="0"/>
        <w:autoSpaceDN w:val="0"/>
        <w:snapToGrid w:val="0"/>
        <w:jc w:val="both"/>
        <w:rPr>
          <w:rFonts w:ascii="Open Sans Light" w:hAnsi="Open Sans Light" w:cs="Open Sans Light"/>
          <w:sz w:val="18"/>
          <w:szCs w:val="18"/>
        </w:rPr>
      </w:pPr>
      <w:r w:rsidRPr="00F74523">
        <w:rPr>
          <w:rFonts w:ascii="Open Sans Light" w:hAnsi="Open Sans Light" w:cs="Open Sans Light"/>
          <w:sz w:val="18"/>
          <w:szCs w:val="18"/>
        </w:rPr>
        <w:t>This report may contain information (the “Information”) sourced from MSCI Inc., its affiliates or information providers (the “MSCI Parties”) and may have been used to calculate scores, ratings or other indicators. The Information is for internal use only, and may not be reproduced/</w:t>
      </w:r>
      <w:proofErr w:type="spellStart"/>
      <w:r w:rsidRPr="00F74523">
        <w:rPr>
          <w:rFonts w:ascii="Open Sans Light" w:hAnsi="Open Sans Light" w:cs="Open Sans Light"/>
          <w:sz w:val="18"/>
          <w:szCs w:val="18"/>
        </w:rPr>
        <w:t>redisseminated</w:t>
      </w:r>
      <w:proofErr w:type="spellEnd"/>
      <w:r w:rsidRPr="00F74523">
        <w:rPr>
          <w:rFonts w:ascii="Open Sans Light" w:hAnsi="Open Sans Light" w:cs="Open Sans Light"/>
          <w:sz w:val="18"/>
          <w:szCs w:val="18"/>
        </w:rPr>
        <w:t xml:space="preserve"> in any form, or used as a basis for or a component of any financial instruments or products or indices. The MSCI Parties do not warrant or guarantee the originality, accuracy and/or completeness of any data or Information herein and expressly disclaim all express or implied warranties, including of merchantability and fitness for a particular purpose. The Information is not intended to constitute investment advice or a recommendation to make (or refrain from making) any investment decision and may not be relied on as such, nor should it be taken as an indication or guarantee of any future performance, analysis, forecast or prediction. None of the MSCI Parties shall have any liability for any errors or omissions in connection with any data or </w:t>
      </w:r>
      <w:r w:rsidRPr="00F74523">
        <w:rPr>
          <w:rFonts w:ascii="Open Sans Light" w:hAnsi="Open Sans Light" w:cs="Open Sans Light"/>
          <w:sz w:val="18"/>
          <w:szCs w:val="18"/>
        </w:rPr>
        <w:lastRenderedPageBreak/>
        <w:t>Information herein, or any liability for any direct, indirect, special, punitive, consequential or any other damages (including lost profits) even if notified of the possibility of such damages.</w:t>
      </w:r>
    </w:p>
    <w:p w:rsidR="003B282F" w:rsidRPr="00F74523" w:rsidRDefault="009B2573" w:rsidP="003B282F">
      <w:pPr>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8E1612">
        <w:rPr>
          <w:rFonts w:ascii="Open Sans Light" w:hAnsi="Open Sans Light" w:cs="Open Sans Light"/>
          <w:sz w:val="18"/>
          <w:szCs w:val="18"/>
        </w:rPr>
        <w:t>,</w:t>
      </w:r>
      <w:r w:rsidR="003B282F" w:rsidRPr="00F74523">
        <w:rPr>
          <w:rFonts w:ascii="Open Sans Light" w:hAnsi="Open Sans Light" w:cs="Open Sans Light"/>
          <w:sz w:val="18"/>
          <w:szCs w:val="18"/>
        </w:rPr>
        <w:t xml:space="preserve"> Ironbark and their associates and respective directors and other staff each declare that they may, from time to time, hold interests in securities that are contained in the HUB24 Managed Portfolio Service. </w:t>
      </w:r>
    </w:p>
    <w:p w:rsidR="003B282F" w:rsidRPr="00F74523" w:rsidRDefault="003B282F" w:rsidP="003B282F">
      <w:pPr>
        <w:rPr>
          <w:rFonts w:ascii="Open Sans Light" w:hAnsi="Open Sans Light" w:cs="Open Sans Light"/>
          <w:b/>
          <w:bCs/>
          <w:sz w:val="18"/>
          <w:szCs w:val="18"/>
        </w:rPr>
      </w:pPr>
    </w:p>
    <w:p w:rsidR="00FA00E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 </w:t>
      </w:r>
      <w:r>
        <w:rPr>
          <w:rFonts w:ascii="Open Sans Light" w:hAnsi="Open Sans Light" w:cs="Open Sans Light"/>
          <w:sz w:val="18"/>
          <w:szCs w:val="18"/>
        </w:rPr>
        <w:t>2023</w:t>
      </w:r>
      <w:r w:rsidR="001F429F">
        <w:rPr>
          <w:rFonts w:ascii="Open Sans Light" w:hAnsi="Open Sans Light" w:cs="Open Sans Light"/>
          <w:sz w:val="18"/>
          <w:szCs w:val="18"/>
        </w:rPr>
        <w:t xml:space="preserve"> </w:t>
      </w:r>
      <w:r w:rsidRPr="00F74523">
        <w:rPr>
          <w:rFonts w:ascii="Open Sans Light" w:hAnsi="Open Sans Light" w:cs="Open Sans Light"/>
          <w:sz w:val="18"/>
          <w:szCs w:val="18"/>
        </w:rPr>
        <w:t>Ironbark. All rights reserved.</w:t>
      </w:r>
    </w:p>
    <w:sectPr w:rsidR="00FA00EF" w:rsidRPr="00F74523" w:rsidSect="0090375E">
      <w:footerReference w:type="even" r:id="rId9"/>
      <w:footerReference w:type="default" r:id="rId10"/>
      <w:type w:val="continuous"/>
      <w:pgSz w:w="11900" w:h="16840"/>
      <w:pgMar w:top="1440"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9DA" w:rsidRDefault="009429DA">
      <w:pPr>
        <w:spacing w:after="0" w:line="240" w:lineRule="auto"/>
      </w:pPr>
      <w:r>
        <w:separator/>
      </w:r>
    </w:p>
  </w:endnote>
  <w:endnote w:type="continuationSeparator" w:id="0">
    <w:p w:rsidR="009429DA" w:rsidRDefault="0094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iragino Kaku Gothic Pro W6">
    <w:altName w:val="Yu Gothic"/>
    <w:panose1 w:val="020B06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IN Next LT Pro Bold Condensed">
    <w:altName w:val="Calibri"/>
    <w:panose1 w:val="020B0604020202020204"/>
    <w:charset w:val="00"/>
    <w:family w:val="swiss"/>
    <w:notTrueType/>
    <w:pitch w:val="variable"/>
    <w:sig w:usb0="A00000AF" w:usb1="5000205B"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0EA" w:rsidRDefault="00CF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73E">
      <w:rPr>
        <w:rStyle w:val="PageNumber"/>
        <w:noProof/>
      </w:rPr>
      <w:t>1</w:t>
    </w:r>
    <w:r>
      <w:rPr>
        <w:rStyle w:val="PageNumber"/>
      </w:rPr>
      <w:fldChar w:fldCharType="end"/>
    </w:r>
  </w:p>
  <w:p w:rsidR="00CF40EA" w:rsidRDefault="00CF40EA" w:rsidP="007A29C1">
    <w:pPr>
      <w:pStyle w:val="Footer"/>
      <w:jc w:val="center"/>
    </w:pPr>
  </w:p>
  <w:p w:rsidR="00CF40EA" w:rsidRDefault="00CF4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9DA" w:rsidRDefault="009429DA">
      <w:pPr>
        <w:spacing w:after="0" w:line="240" w:lineRule="auto"/>
      </w:pPr>
      <w:r>
        <w:separator/>
      </w:r>
    </w:p>
  </w:footnote>
  <w:footnote w:type="continuationSeparator" w:id="0">
    <w:p w:rsidR="009429DA" w:rsidRDefault="00942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393438">
    <w:abstractNumId w:val="18"/>
  </w:num>
  <w:num w:numId="2" w16cid:durableId="1458643184">
    <w:abstractNumId w:val="15"/>
  </w:num>
  <w:num w:numId="3" w16cid:durableId="261645349">
    <w:abstractNumId w:val="17"/>
  </w:num>
  <w:num w:numId="4" w16cid:durableId="1157069938">
    <w:abstractNumId w:val="14"/>
  </w:num>
  <w:num w:numId="5" w16cid:durableId="370809944">
    <w:abstractNumId w:val="10"/>
  </w:num>
  <w:num w:numId="6" w16cid:durableId="607466136">
    <w:abstractNumId w:val="8"/>
  </w:num>
  <w:num w:numId="7" w16cid:durableId="233400337">
    <w:abstractNumId w:val="7"/>
  </w:num>
  <w:num w:numId="8" w16cid:durableId="822889164">
    <w:abstractNumId w:val="6"/>
  </w:num>
  <w:num w:numId="9" w16cid:durableId="787940950">
    <w:abstractNumId w:val="5"/>
  </w:num>
  <w:num w:numId="10" w16cid:durableId="508713857">
    <w:abstractNumId w:val="9"/>
  </w:num>
  <w:num w:numId="11" w16cid:durableId="974994579">
    <w:abstractNumId w:val="4"/>
  </w:num>
  <w:num w:numId="12" w16cid:durableId="936714105">
    <w:abstractNumId w:val="3"/>
  </w:num>
  <w:num w:numId="13" w16cid:durableId="1825855452">
    <w:abstractNumId w:val="2"/>
  </w:num>
  <w:num w:numId="14" w16cid:durableId="442042440">
    <w:abstractNumId w:val="1"/>
  </w:num>
  <w:num w:numId="15" w16cid:durableId="1656766059">
    <w:abstractNumId w:val="0"/>
  </w:num>
  <w:num w:numId="16" w16cid:durableId="2062896626">
    <w:abstractNumId w:val="12"/>
  </w:num>
  <w:num w:numId="17" w16cid:durableId="1520507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937655">
    <w:abstractNumId w:val="16"/>
  </w:num>
  <w:num w:numId="19" w16cid:durableId="908422957">
    <w:abstractNumId w:val="13"/>
  </w:num>
  <w:num w:numId="20" w16cid:durableId="1090741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901A5"/>
    <w:rsid w:val="00001B40"/>
    <w:rsid w:val="00001ED0"/>
    <w:rsid w:val="000025D7"/>
    <w:rsid w:val="0000299E"/>
    <w:rsid w:val="0001455F"/>
    <w:rsid w:val="000220ED"/>
    <w:rsid w:val="0002226B"/>
    <w:rsid w:val="00023894"/>
    <w:rsid w:val="00025F53"/>
    <w:rsid w:val="000319BE"/>
    <w:rsid w:val="000363DE"/>
    <w:rsid w:val="000507A6"/>
    <w:rsid w:val="000517C1"/>
    <w:rsid w:val="0005562F"/>
    <w:rsid w:val="000578E2"/>
    <w:rsid w:val="00061828"/>
    <w:rsid w:val="000637DC"/>
    <w:rsid w:val="00073D80"/>
    <w:rsid w:val="00077DB3"/>
    <w:rsid w:val="00090CAA"/>
    <w:rsid w:val="000939CB"/>
    <w:rsid w:val="000A2C55"/>
    <w:rsid w:val="000A6975"/>
    <w:rsid w:val="000B7A46"/>
    <w:rsid w:val="000C0A96"/>
    <w:rsid w:val="000C667C"/>
    <w:rsid w:val="000D0DF5"/>
    <w:rsid w:val="000D3C30"/>
    <w:rsid w:val="000E6AFB"/>
    <w:rsid w:val="000E71F6"/>
    <w:rsid w:val="000E75EE"/>
    <w:rsid w:val="000F2104"/>
    <w:rsid w:val="000F5F2C"/>
    <w:rsid w:val="00105CC1"/>
    <w:rsid w:val="00121412"/>
    <w:rsid w:val="001231DB"/>
    <w:rsid w:val="00124881"/>
    <w:rsid w:val="00126525"/>
    <w:rsid w:val="0013184D"/>
    <w:rsid w:val="001540FD"/>
    <w:rsid w:val="00182271"/>
    <w:rsid w:val="0018386A"/>
    <w:rsid w:val="001845B4"/>
    <w:rsid w:val="00197A5A"/>
    <w:rsid w:val="001A0AAF"/>
    <w:rsid w:val="001A137C"/>
    <w:rsid w:val="001A3335"/>
    <w:rsid w:val="001A3F41"/>
    <w:rsid w:val="001A591F"/>
    <w:rsid w:val="001B3DFC"/>
    <w:rsid w:val="001B74EF"/>
    <w:rsid w:val="001C0A71"/>
    <w:rsid w:val="001C3E18"/>
    <w:rsid w:val="001C5E16"/>
    <w:rsid w:val="001C6875"/>
    <w:rsid w:val="001D3DCA"/>
    <w:rsid w:val="001E7EC0"/>
    <w:rsid w:val="001F229A"/>
    <w:rsid w:val="001F32CD"/>
    <w:rsid w:val="001F429F"/>
    <w:rsid w:val="001F7993"/>
    <w:rsid w:val="001F7E5B"/>
    <w:rsid w:val="0020663F"/>
    <w:rsid w:val="00210965"/>
    <w:rsid w:val="00214160"/>
    <w:rsid w:val="00245887"/>
    <w:rsid w:val="002676E9"/>
    <w:rsid w:val="00272FE7"/>
    <w:rsid w:val="00273BF1"/>
    <w:rsid w:val="00284212"/>
    <w:rsid w:val="002901A5"/>
    <w:rsid w:val="0029499A"/>
    <w:rsid w:val="002B3418"/>
    <w:rsid w:val="002B45A3"/>
    <w:rsid w:val="002B5F5E"/>
    <w:rsid w:val="002C51E9"/>
    <w:rsid w:val="002E6CA7"/>
    <w:rsid w:val="002F20A8"/>
    <w:rsid w:val="002F2975"/>
    <w:rsid w:val="002F2CF3"/>
    <w:rsid w:val="00305C6E"/>
    <w:rsid w:val="00311A82"/>
    <w:rsid w:val="00312C96"/>
    <w:rsid w:val="00316554"/>
    <w:rsid w:val="0032408F"/>
    <w:rsid w:val="0032615D"/>
    <w:rsid w:val="00330263"/>
    <w:rsid w:val="00333429"/>
    <w:rsid w:val="00334718"/>
    <w:rsid w:val="003405D5"/>
    <w:rsid w:val="0034117F"/>
    <w:rsid w:val="00353F12"/>
    <w:rsid w:val="00366E0F"/>
    <w:rsid w:val="00366F8F"/>
    <w:rsid w:val="00377C13"/>
    <w:rsid w:val="00382DB8"/>
    <w:rsid w:val="003940C6"/>
    <w:rsid w:val="003A347D"/>
    <w:rsid w:val="003B282F"/>
    <w:rsid w:val="003B4BA9"/>
    <w:rsid w:val="003B7F42"/>
    <w:rsid w:val="003C5ED9"/>
    <w:rsid w:val="003D6142"/>
    <w:rsid w:val="003E149E"/>
    <w:rsid w:val="003E2A59"/>
    <w:rsid w:val="003E2DBE"/>
    <w:rsid w:val="003E30A4"/>
    <w:rsid w:val="003E3D17"/>
    <w:rsid w:val="00400995"/>
    <w:rsid w:val="0040653D"/>
    <w:rsid w:val="00414E30"/>
    <w:rsid w:val="00431F1A"/>
    <w:rsid w:val="004352D0"/>
    <w:rsid w:val="0043779E"/>
    <w:rsid w:val="004530F2"/>
    <w:rsid w:val="004622F2"/>
    <w:rsid w:val="004734B1"/>
    <w:rsid w:val="004737FA"/>
    <w:rsid w:val="00476BDE"/>
    <w:rsid w:val="00480D60"/>
    <w:rsid w:val="00482047"/>
    <w:rsid w:val="00486E96"/>
    <w:rsid w:val="00487700"/>
    <w:rsid w:val="0049739E"/>
    <w:rsid w:val="004A7104"/>
    <w:rsid w:val="004B041A"/>
    <w:rsid w:val="004B1795"/>
    <w:rsid w:val="004B23F9"/>
    <w:rsid w:val="004C2AC5"/>
    <w:rsid w:val="004C72DD"/>
    <w:rsid w:val="004E1B71"/>
    <w:rsid w:val="004E44B8"/>
    <w:rsid w:val="00502351"/>
    <w:rsid w:val="005176E0"/>
    <w:rsid w:val="00532507"/>
    <w:rsid w:val="005344E2"/>
    <w:rsid w:val="00545522"/>
    <w:rsid w:val="005465B7"/>
    <w:rsid w:val="0054745D"/>
    <w:rsid w:val="00550D65"/>
    <w:rsid w:val="00550F00"/>
    <w:rsid w:val="00555790"/>
    <w:rsid w:val="005557A7"/>
    <w:rsid w:val="00557B4C"/>
    <w:rsid w:val="00561456"/>
    <w:rsid w:val="0056204C"/>
    <w:rsid w:val="0057054E"/>
    <w:rsid w:val="00570B8C"/>
    <w:rsid w:val="00570D7D"/>
    <w:rsid w:val="00571B1A"/>
    <w:rsid w:val="00573142"/>
    <w:rsid w:val="00573A65"/>
    <w:rsid w:val="00574482"/>
    <w:rsid w:val="00595C08"/>
    <w:rsid w:val="005A3152"/>
    <w:rsid w:val="005A6188"/>
    <w:rsid w:val="005B1651"/>
    <w:rsid w:val="005B257C"/>
    <w:rsid w:val="005C12E0"/>
    <w:rsid w:val="005E006E"/>
    <w:rsid w:val="005E5E28"/>
    <w:rsid w:val="005E5F13"/>
    <w:rsid w:val="005E60C2"/>
    <w:rsid w:val="005E68C7"/>
    <w:rsid w:val="005E7FDF"/>
    <w:rsid w:val="005F1058"/>
    <w:rsid w:val="005F3DA2"/>
    <w:rsid w:val="005F7D10"/>
    <w:rsid w:val="0060001B"/>
    <w:rsid w:val="00617EAC"/>
    <w:rsid w:val="006200B2"/>
    <w:rsid w:val="00627CC2"/>
    <w:rsid w:val="00633126"/>
    <w:rsid w:val="00647DAB"/>
    <w:rsid w:val="006549D7"/>
    <w:rsid w:val="0066154A"/>
    <w:rsid w:val="00663FE7"/>
    <w:rsid w:val="006708AD"/>
    <w:rsid w:val="0067180A"/>
    <w:rsid w:val="006779B6"/>
    <w:rsid w:val="00686699"/>
    <w:rsid w:val="00693102"/>
    <w:rsid w:val="006C396A"/>
    <w:rsid w:val="006C7527"/>
    <w:rsid w:val="006D019A"/>
    <w:rsid w:val="006D69FD"/>
    <w:rsid w:val="006E07AB"/>
    <w:rsid w:val="0070025C"/>
    <w:rsid w:val="00707779"/>
    <w:rsid w:val="007170D9"/>
    <w:rsid w:val="00720B1A"/>
    <w:rsid w:val="00721FC3"/>
    <w:rsid w:val="00740E1B"/>
    <w:rsid w:val="00743487"/>
    <w:rsid w:val="00747FE1"/>
    <w:rsid w:val="0078021D"/>
    <w:rsid w:val="007804B7"/>
    <w:rsid w:val="00782989"/>
    <w:rsid w:val="00782C51"/>
    <w:rsid w:val="00786FED"/>
    <w:rsid w:val="007A06FD"/>
    <w:rsid w:val="007A0CB7"/>
    <w:rsid w:val="007A29C1"/>
    <w:rsid w:val="007A3851"/>
    <w:rsid w:val="007B0BA3"/>
    <w:rsid w:val="007C6FB8"/>
    <w:rsid w:val="007D418F"/>
    <w:rsid w:val="007E19E3"/>
    <w:rsid w:val="007E4B77"/>
    <w:rsid w:val="00800086"/>
    <w:rsid w:val="00804CCA"/>
    <w:rsid w:val="00830CB5"/>
    <w:rsid w:val="00830D3E"/>
    <w:rsid w:val="00843AFB"/>
    <w:rsid w:val="00866748"/>
    <w:rsid w:val="00867930"/>
    <w:rsid w:val="00877513"/>
    <w:rsid w:val="008833C7"/>
    <w:rsid w:val="00887CF6"/>
    <w:rsid w:val="00890E2A"/>
    <w:rsid w:val="00891E81"/>
    <w:rsid w:val="00893A4F"/>
    <w:rsid w:val="00896D01"/>
    <w:rsid w:val="008A4A74"/>
    <w:rsid w:val="008B4A5E"/>
    <w:rsid w:val="008B52DB"/>
    <w:rsid w:val="008B746E"/>
    <w:rsid w:val="008C11F4"/>
    <w:rsid w:val="008C273E"/>
    <w:rsid w:val="008D32BC"/>
    <w:rsid w:val="008D3F80"/>
    <w:rsid w:val="008D4591"/>
    <w:rsid w:val="008D4775"/>
    <w:rsid w:val="008D5309"/>
    <w:rsid w:val="008D6C55"/>
    <w:rsid w:val="008E0248"/>
    <w:rsid w:val="008E0FAD"/>
    <w:rsid w:val="008E1612"/>
    <w:rsid w:val="008F3B18"/>
    <w:rsid w:val="008F3F5D"/>
    <w:rsid w:val="008F66CD"/>
    <w:rsid w:val="008F67D0"/>
    <w:rsid w:val="0090375E"/>
    <w:rsid w:val="0091061D"/>
    <w:rsid w:val="00910F86"/>
    <w:rsid w:val="00916750"/>
    <w:rsid w:val="00922D49"/>
    <w:rsid w:val="00930436"/>
    <w:rsid w:val="00933D57"/>
    <w:rsid w:val="00937261"/>
    <w:rsid w:val="00940173"/>
    <w:rsid w:val="00942102"/>
    <w:rsid w:val="009429DA"/>
    <w:rsid w:val="00965060"/>
    <w:rsid w:val="00973E1B"/>
    <w:rsid w:val="009837EB"/>
    <w:rsid w:val="00992EFD"/>
    <w:rsid w:val="0099426C"/>
    <w:rsid w:val="00994879"/>
    <w:rsid w:val="0099695E"/>
    <w:rsid w:val="009A2283"/>
    <w:rsid w:val="009B0ED2"/>
    <w:rsid w:val="009B2573"/>
    <w:rsid w:val="009C1C03"/>
    <w:rsid w:val="009D0C10"/>
    <w:rsid w:val="009D60B5"/>
    <w:rsid w:val="009E1D82"/>
    <w:rsid w:val="009E2567"/>
    <w:rsid w:val="009F4AEF"/>
    <w:rsid w:val="009F61FC"/>
    <w:rsid w:val="009F6885"/>
    <w:rsid w:val="009F7C60"/>
    <w:rsid w:val="00A10544"/>
    <w:rsid w:val="00A132D1"/>
    <w:rsid w:val="00A23B7D"/>
    <w:rsid w:val="00A423A1"/>
    <w:rsid w:val="00A5391E"/>
    <w:rsid w:val="00A61BEA"/>
    <w:rsid w:val="00A628A3"/>
    <w:rsid w:val="00A72AAE"/>
    <w:rsid w:val="00A75306"/>
    <w:rsid w:val="00A75715"/>
    <w:rsid w:val="00A83853"/>
    <w:rsid w:val="00A83AFB"/>
    <w:rsid w:val="00A87E71"/>
    <w:rsid w:val="00A949F6"/>
    <w:rsid w:val="00A96812"/>
    <w:rsid w:val="00AA441E"/>
    <w:rsid w:val="00AA4593"/>
    <w:rsid w:val="00AB1971"/>
    <w:rsid w:val="00AC56F1"/>
    <w:rsid w:val="00AD1580"/>
    <w:rsid w:val="00AD168D"/>
    <w:rsid w:val="00AD286E"/>
    <w:rsid w:val="00AE0199"/>
    <w:rsid w:val="00AF25E2"/>
    <w:rsid w:val="00AF5BF0"/>
    <w:rsid w:val="00B04DA9"/>
    <w:rsid w:val="00B10045"/>
    <w:rsid w:val="00B36E40"/>
    <w:rsid w:val="00B37359"/>
    <w:rsid w:val="00B4463A"/>
    <w:rsid w:val="00B614B9"/>
    <w:rsid w:val="00B6584F"/>
    <w:rsid w:val="00B67C36"/>
    <w:rsid w:val="00B70D75"/>
    <w:rsid w:val="00B73D36"/>
    <w:rsid w:val="00B97A6B"/>
    <w:rsid w:val="00BA2F7D"/>
    <w:rsid w:val="00BA545D"/>
    <w:rsid w:val="00BB4840"/>
    <w:rsid w:val="00BD1C00"/>
    <w:rsid w:val="00BE4594"/>
    <w:rsid w:val="00BF13DF"/>
    <w:rsid w:val="00C13EC5"/>
    <w:rsid w:val="00C20F57"/>
    <w:rsid w:val="00C26162"/>
    <w:rsid w:val="00C36187"/>
    <w:rsid w:val="00C400A1"/>
    <w:rsid w:val="00C40B4B"/>
    <w:rsid w:val="00C41111"/>
    <w:rsid w:val="00C468E9"/>
    <w:rsid w:val="00C55D8C"/>
    <w:rsid w:val="00C576B2"/>
    <w:rsid w:val="00C61778"/>
    <w:rsid w:val="00C64E9B"/>
    <w:rsid w:val="00C65253"/>
    <w:rsid w:val="00C652EB"/>
    <w:rsid w:val="00C919CE"/>
    <w:rsid w:val="00C91ECE"/>
    <w:rsid w:val="00C962FB"/>
    <w:rsid w:val="00CA331E"/>
    <w:rsid w:val="00CA6C1A"/>
    <w:rsid w:val="00CB222B"/>
    <w:rsid w:val="00CC10A1"/>
    <w:rsid w:val="00CD7C85"/>
    <w:rsid w:val="00CE001F"/>
    <w:rsid w:val="00CE33A7"/>
    <w:rsid w:val="00CE4E39"/>
    <w:rsid w:val="00CF40EA"/>
    <w:rsid w:val="00CF5A14"/>
    <w:rsid w:val="00D02BD5"/>
    <w:rsid w:val="00D042C6"/>
    <w:rsid w:val="00D16B2C"/>
    <w:rsid w:val="00D20E37"/>
    <w:rsid w:val="00D52BF6"/>
    <w:rsid w:val="00D54945"/>
    <w:rsid w:val="00D550CD"/>
    <w:rsid w:val="00D60B0E"/>
    <w:rsid w:val="00D642C1"/>
    <w:rsid w:val="00D66D3E"/>
    <w:rsid w:val="00D7053D"/>
    <w:rsid w:val="00D752F3"/>
    <w:rsid w:val="00D81E08"/>
    <w:rsid w:val="00D87D5D"/>
    <w:rsid w:val="00D94200"/>
    <w:rsid w:val="00DC03A2"/>
    <w:rsid w:val="00DC08E0"/>
    <w:rsid w:val="00DC7EC9"/>
    <w:rsid w:val="00DD522C"/>
    <w:rsid w:val="00DF4FEF"/>
    <w:rsid w:val="00DF7036"/>
    <w:rsid w:val="00DF70EA"/>
    <w:rsid w:val="00E02F2D"/>
    <w:rsid w:val="00E03484"/>
    <w:rsid w:val="00E0519C"/>
    <w:rsid w:val="00E1025E"/>
    <w:rsid w:val="00E13152"/>
    <w:rsid w:val="00E16255"/>
    <w:rsid w:val="00E2688F"/>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6A6C"/>
    <w:rsid w:val="00F47C5B"/>
    <w:rsid w:val="00F5130F"/>
    <w:rsid w:val="00F518A1"/>
    <w:rsid w:val="00F51936"/>
    <w:rsid w:val="00F53566"/>
    <w:rsid w:val="00F727FB"/>
    <w:rsid w:val="00F74523"/>
    <w:rsid w:val="00F86FEA"/>
    <w:rsid w:val="00F9291D"/>
    <w:rsid w:val="00F94A77"/>
    <w:rsid w:val="00F95F2F"/>
    <w:rsid w:val="00FA00EF"/>
    <w:rsid w:val="00FA0914"/>
    <w:rsid w:val="00FA384A"/>
    <w:rsid w:val="00FA6749"/>
    <w:rsid w:val="00FC040B"/>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CC8EF"/>
  <w15:docId w15:val="{D41B5271-CE0C-4F77-9D6E-647BA0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 w:type="paragraph" w:styleId="Revision">
    <w:name w:val="Revision"/>
    <w:hidden/>
    <w:uiPriority w:val="99"/>
    <w:semiHidden/>
    <w:rsid w:val="00D642C1"/>
    <w:pPr>
      <w:spacing w:before="0" w:after="0" w:line="240" w:lineRule="auto"/>
    </w:pPr>
    <w:rPr>
      <w:rFonts w:ascii="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4421-4BA0-4C8C-BBA1-6C80158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2023-08-03T01:11:00Z</dcterms:created>
  <dcterms:modified xsi:type="dcterms:W3CDTF">2023-08-03T01:11:00Z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-1.81</vt:lpwstr>
  </property>
  <property fmtid="{D5CDD505-2E9C-101B-9397-08002B2CF9AE}" pid="6" name="Portfolio3Month">
    <vt:lpwstr>-2.76</vt:lpwstr>
  </property>
  <property fmtid="{D5CDD505-2E9C-101B-9397-08002B2CF9AE}" pid="7" name="Portfolio6Month">
    <vt:lpwstr>1.87</vt:lpwstr>
  </property>
  <property fmtid="{D5CDD505-2E9C-101B-9397-08002B2CF9AE}" pid="8" name="Portfolio12Month">
    <vt:lpwstr>18.26</vt:lpwstr>
  </property>
  <property fmtid="{D5CDD505-2E9C-101B-9397-08002B2CF9AE}" pid="9" name="Portfolio3Years">
    <vt:lpwstr>9.30</vt:lpwstr>
  </property>
  <property fmtid="{D5CDD505-2E9C-101B-9397-08002B2CF9AE}" pid="10" name="Portfolio5Years">
    <vt:lpwstr>11.97</vt:lpwstr>
  </property>
  <property fmtid="{D5CDD505-2E9C-101B-9397-08002B2CF9AE}" pid="11" name="PortfolioInceptionPa">
    <vt:lpwstr>11.13</vt:lpwstr>
  </property>
  <property fmtid="{D5CDD505-2E9C-101B-9397-08002B2CF9AE}" pid="12" name="Benchmark1Month">
    <vt:lpwstr>1.76</vt:lpwstr>
  </property>
  <property fmtid="{D5CDD505-2E9C-101B-9397-08002B2CF9AE}" pid="13" name="Benchmark3Month">
    <vt:lpwstr>1.01</vt:lpwstr>
  </property>
  <property fmtid="{D5CDD505-2E9C-101B-9397-08002B2CF9AE}" pid="14" name="Benchmark6Month">
    <vt:lpwstr>4.51</vt:lpwstr>
  </property>
  <property fmtid="{D5CDD505-2E9C-101B-9397-08002B2CF9AE}" pid="15" name="Benchmark12Month">
    <vt:lpwstr>14.78</vt:lpwstr>
  </property>
  <property fmtid="{D5CDD505-2E9C-101B-9397-08002B2CF9AE}" pid="16" name="Benchmark3Years">
    <vt:lpwstr>11.12</vt:lpwstr>
  </property>
  <property fmtid="{D5CDD505-2E9C-101B-9397-08002B2CF9AE}" pid="17" name="Benchmark5Years">
    <vt:lpwstr>7.15</vt:lpwstr>
  </property>
  <property fmtid="{D5CDD505-2E9C-101B-9397-08002B2CF9AE}" pid="18" name="BenchmarkInceptionPa">
    <vt:lpwstr>7.30</vt:lpwstr>
  </property>
  <property fmtid="{D5CDD505-2E9C-101B-9397-08002B2CF9AE}" pid="19" name="Relative1Month">
    <vt:lpwstr>-3.57</vt:lpwstr>
  </property>
  <property fmtid="{D5CDD505-2E9C-101B-9397-08002B2CF9AE}" pid="20" name="Relative3Month">
    <vt:lpwstr>-3.77</vt:lpwstr>
  </property>
  <property fmtid="{D5CDD505-2E9C-101B-9397-08002B2CF9AE}" pid="21" name="Relative6Month">
    <vt:lpwstr>-2.64</vt:lpwstr>
  </property>
  <property fmtid="{D5CDD505-2E9C-101B-9397-08002B2CF9AE}" pid="22" name="Relative12Month">
    <vt:lpwstr>3.48</vt:lpwstr>
  </property>
  <property fmtid="{D5CDD505-2E9C-101B-9397-08002B2CF9AE}" pid="23" name="Relative3Years">
    <vt:lpwstr>-1.82</vt:lpwstr>
  </property>
  <property fmtid="{D5CDD505-2E9C-101B-9397-08002B2CF9AE}" pid="24" name="Relative5Years">
    <vt:lpwstr>4.82</vt:lpwstr>
  </property>
  <property fmtid="{D5CDD505-2E9C-101B-9397-08002B2CF9AE}" pid="25" name="RelativeInceptionPa">
    <vt:lpwstr>3.83</vt:lpwstr>
  </property>
</Properties>
</file>