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4C71" w14:textId="77777777" w:rsidR="00D042C6" w:rsidRPr="000578E2" w:rsidRDefault="00744C0F" w:rsidP="00D042C6">
      <w:pPr>
        <w:spacing w:after="0"/>
        <w:rPr>
          <w:b/>
          <w:color w:val="595959"/>
          <w:sz w:val="40"/>
        </w:rPr>
      </w:pPr>
      <w:r>
        <w:rPr>
          <w:b/>
          <w:noProof/>
          <w:color w:val="595959"/>
          <w:sz w:val="40"/>
        </w:rPr>
        <w:drawing>
          <wp:inline distT="0" distB="0" distL="0" distR="0" wp14:anchorId="6BFFF8FA" wp14:editId="55FF7C11">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67280" cy="1038334"/>
                    </a:xfrm>
                    <a:prstGeom prst="rect">
                      <a:avLst/>
                    </a:prstGeom>
                  </pic:spPr>
                </pic:pic>
              </a:graphicData>
            </a:graphic>
          </wp:inline>
        </w:drawing>
      </w:r>
    </w:p>
    <w:p w14:paraId="69A47931" w14:textId="77777777" w:rsidR="00073D80" w:rsidRPr="000578E2" w:rsidRDefault="000A2C55" w:rsidP="00D042C6">
      <w:pPr>
        <w:spacing w:after="0"/>
        <w:rPr>
          <w:b/>
          <w:color w:val="595959"/>
          <w:sz w:val="40"/>
        </w:rPr>
      </w:pPr>
      <w:r>
        <w:rPr>
          <w:b/>
          <w:color w:val="595959"/>
          <w:sz w:val="40"/>
        </w:rPr>
        <w:t>AC Managed Equity Portfolio</w:t>
      </w:r>
    </w:p>
    <w:p w14:paraId="65CA4D9A" w14:textId="77777777" w:rsidR="00D042C6" w:rsidRPr="000578E2" w:rsidRDefault="000A2C55" w:rsidP="00D042C6">
      <w:pPr>
        <w:spacing w:after="0"/>
        <w:rPr>
          <w:b/>
          <w:color w:val="595959"/>
          <w:sz w:val="40"/>
        </w:rPr>
      </w:pPr>
      <w:r>
        <w:rPr>
          <w:b/>
          <w:color w:val="595959"/>
          <w:sz w:val="40"/>
        </w:rPr>
        <w:t>March 2022</w:t>
      </w:r>
      <w:r w:rsidR="00D042C6" w:rsidRPr="000578E2">
        <w:rPr>
          <w:b/>
          <w:color w:val="595959"/>
          <w:sz w:val="40"/>
        </w:rPr>
        <w:t xml:space="preserve"> Quarterly Review</w:t>
      </w:r>
    </w:p>
    <w:p w14:paraId="1D0FF001" w14:textId="77777777" w:rsidR="00334718" w:rsidRPr="000578E2" w:rsidRDefault="00334718" w:rsidP="008D5309">
      <w:pPr>
        <w:pStyle w:val="Heading2"/>
        <w:spacing w:before="480"/>
        <w:sectPr w:rsidR="00334718" w:rsidRPr="000578E2" w:rsidSect="009A2283">
          <w:footerReference w:type="even" r:id="rId9"/>
          <w:footerReference w:type="default" r:id="rId10"/>
          <w:type w:val="continuous"/>
          <w:pgSz w:w="11900" w:h="16840"/>
          <w:pgMar w:top="1440" w:right="1410" w:bottom="1440" w:left="1276" w:header="708" w:footer="708" w:gutter="0"/>
          <w:cols w:space="708"/>
        </w:sectPr>
      </w:pPr>
    </w:p>
    <w:p w14:paraId="07770ECA" w14:textId="77777777" w:rsidR="008F3B18" w:rsidRPr="000578E2" w:rsidRDefault="008F3B18" w:rsidP="008F3B18">
      <w:pPr>
        <w:spacing w:before="120"/>
        <w:jc w:val="both"/>
      </w:pPr>
    </w:p>
    <w:p w14:paraId="7D7F063D" w14:textId="77777777" w:rsidR="00FA00EF" w:rsidRPr="000578E2" w:rsidRDefault="000A2C55" w:rsidP="008F3B18">
      <w:pPr>
        <w:pStyle w:val="Heading2"/>
        <w:spacing w:before="120" w:after="60"/>
      </w:pPr>
      <w:r w:rsidRPr="000578E2">
        <w:t>Portfolio Performance</w:t>
      </w:r>
    </w:p>
    <w:p w14:paraId="0D1F4E78" w14:textId="77777777" w:rsidR="00FA00EF" w:rsidRPr="000578E2" w:rsidRDefault="00FA00EF" w:rsidP="008F3B18">
      <w:pPr>
        <w:spacing w:before="120"/>
        <w:ind w:right="-142"/>
        <w:sectPr w:rsidR="00FA00EF" w:rsidRPr="000578E2" w:rsidSect="00334718">
          <w:type w:val="continuous"/>
          <w:pgSz w:w="11900" w:h="16840"/>
          <w:pgMar w:top="1440" w:right="1410" w:bottom="1440" w:left="1276" w:header="708" w:footer="708" w:gutter="0"/>
          <w:cols w:space="708"/>
        </w:sectPr>
      </w:pPr>
    </w:p>
    <w:p w14:paraId="05121243" w14:textId="77777777" w:rsidR="00D16B2C" w:rsidRPr="000578E2" w:rsidRDefault="00D16B2C" w:rsidP="008F3B18">
      <w:pPr>
        <w:spacing w:before="120"/>
        <w:jc w:val="both"/>
        <w:rPr>
          <w:rFonts w:eastAsia="Hiragino Kaku Gothic Pro W6" w:cs="Segoe UI"/>
        </w:rPr>
      </w:pPr>
      <w:r w:rsidRPr="000578E2">
        <w:rPr>
          <w:rFonts w:eastAsia="Hiragino Kaku Gothic Pro W6" w:cs="Segoe UI"/>
        </w:rPr>
        <w:t xml:space="preserve">The </w:t>
      </w:r>
      <w:r>
        <w:rPr>
          <w:rFonts w:eastAsia="Hiragino Kaku Gothic Pro W6" w:cs="Segoe UI"/>
        </w:rPr>
        <w:t>AC Managed Equity Portfolio</w:t>
      </w:r>
      <w:r w:rsidR="00073D80" w:rsidRPr="000578E2">
        <w:rPr>
          <w:rFonts w:eastAsia="Hiragino Kaku Gothic Pro W6" w:cs="Segoe UI"/>
        </w:rPr>
        <w:t xml:space="preserve"> </w:t>
      </w:r>
      <w:r w:rsidRPr="000578E2">
        <w:rPr>
          <w:rFonts w:eastAsia="Hiragino Kaku Gothic Pro W6" w:cs="Segoe UI"/>
        </w:rPr>
        <w:t xml:space="preserve">returned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Portfolio3Month  \* MERGEFORMAT </w:instrText>
      </w:r>
      <w:r w:rsidR="00866748" w:rsidRPr="00720B1A">
        <w:rPr>
          <w:rFonts w:eastAsia="Hiragino Kaku Gothic Pro W6" w:cs="Segoe UI"/>
        </w:rPr>
        <w:fldChar w:fldCharType="separate"/>
      </w:r>
      <w:r w:rsidR="00866748" w:rsidRPr="00720B1A">
        <w:rPr>
          <w:rFonts w:eastAsia="Hiragino Kaku Gothic Pro W6" w:cs="Segoe UI"/>
        </w:rPr>
        <w:t>-0.11</w:t>
      </w:r>
      <w:r w:rsidR="00866748" w:rsidRPr="00720B1A">
        <w:rPr>
          <w:rFonts w:eastAsia="Hiragino Kaku Gothic Pro W6" w:cs="Segoe UI"/>
        </w:rPr>
        <w:fldChar w:fldCharType="end"/>
      </w:r>
      <w:r w:rsidR="00E330B1" w:rsidRPr="00720B1A">
        <w:rPr>
          <w:rFonts w:eastAsia="Hiragino Kaku Gothic Pro W6" w:cs="Segoe UI"/>
        </w:rPr>
        <w:t>%</w:t>
      </w:r>
      <w:r w:rsidR="00930436">
        <w:rPr>
          <w:rFonts w:eastAsia="Hiragino Kaku Gothic Pro W6" w:cs="Segoe UI"/>
        </w:rPr>
        <w:t xml:space="preserve"> compared to the benchmark </w:t>
      </w:r>
      <w:r>
        <w:rPr>
          <w:rFonts w:eastAsia="Hiragino Kaku Gothic Pro W6" w:cs="Segoe UI"/>
        </w:rPr>
        <w:t xml:space="preserve">S&amp;P/ASX 200 (TR) </w:t>
      </w:r>
      <w:r w:rsidRPr="000578E2">
        <w:rPr>
          <w:rFonts w:eastAsia="Hiragino Kaku Gothic Pro W6" w:cs="Segoe UI"/>
        </w:rPr>
        <w:t xml:space="preserve">return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Benchmark3Month  \* MERGEFORMAT </w:instrText>
      </w:r>
      <w:r w:rsidR="00866748" w:rsidRPr="00720B1A">
        <w:rPr>
          <w:rFonts w:eastAsia="Hiragino Kaku Gothic Pro W6" w:cs="Segoe UI"/>
        </w:rPr>
        <w:fldChar w:fldCharType="separate"/>
      </w:r>
      <w:r w:rsidR="00866748" w:rsidRPr="00720B1A">
        <w:rPr>
          <w:rFonts w:eastAsia="Hiragino Kaku Gothic Pro W6" w:cs="Segoe UI"/>
        </w:rPr>
        <w:t>2.24</w:t>
      </w:r>
      <w:r w:rsidR="00866748" w:rsidRPr="00720B1A">
        <w:rPr>
          <w:rFonts w:eastAsia="Hiragino Kaku Gothic Pro W6" w:cs="Segoe UI"/>
        </w:rPr>
        <w:fldChar w:fldCharType="end"/>
      </w:r>
      <w:r w:rsidR="00E330B1" w:rsidRPr="00720B1A">
        <w:rPr>
          <w:rFonts w:eastAsia="Hiragino Kaku Gothic Pro W6" w:cs="Segoe UI"/>
        </w:rPr>
        <w:t>%</w:t>
      </w:r>
      <w:r w:rsidRPr="000578E2">
        <w:rPr>
          <w:rFonts w:eastAsia="Hiragino Kaku Gothic Pro W6" w:cs="Segoe UI"/>
        </w:rPr>
        <w:t xml:space="preserve"> giving a relative performance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Relative3Month  \* MERGEFORMAT </w:instrText>
      </w:r>
      <w:r w:rsidR="00866748" w:rsidRPr="00720B1A">
        <w:rPr>
          <w:rFonts w:eastAsia="Hiragino Kaku Gothic Pro W6" w:cs="Segoe UI"/>
        </w:rPr>
        <w:fldChar w:fldCharType="separate"/>
      </w:r>
      <w:r w:rsidR="00866748" w:rsidRPr="00720B1A">
        <w:rPr>
          <w:rFonts w:eastAsia="Hiragino Kaku Gothic Pro W6" w:cs="Segoe UI"/>
        </w:rPr>
        <w:t>-2.35</w:t>
      </w:r>
      <w:r w:rsidR="00866748" w:rsidRPr="00720B1A">
        <w:rPr>
          <w:rFonts w:eastAsia="Hiragino Kaku Gothic Pro W6" w:cs="Segoe UI"/>
        </w:rPr>
        <w:fldChar w:fldCharType="end"/>
      </w:r>
      <w:r w:rsidR="00E330B1" w:rsidRPr="00720B1A">
        <w:rPr>
          <w:rFonts w:eastAsia="Hiragino Kaku Gothic Pro W6" w:cs="Segoe UI"/>
        </w:rPr>
        <w:t>%</w:t>
      </w:r>
      <w:r w:rsidR="000A2C55" w:rsidRPr="000578E2">
        <w:rPr>
          <w:rFonts w:eastAsia="Hiragino Kaku Gothic Pro W6" w:cs="Segoe UI"/>
        </w:rPr>
        <w:t xml:space="preserve"> </w:t>
      </w:r>
      <w:r w:rsidRPr="000578E2">
        <w:rPr>
          <w:rFonts w:eastAsia="Hiragino Kaku Gothic Pro W6" w:cs="Segoe UI"/>
        </w:rPr>
        <w:t>for the period.</w:t>
      </w:r>
    </w:p>
    <w:p w14:paraId="21533E74" w14:textId="77777777" w:rsidR="008F3B18" w:rsidRPr="000578E2" w:rsidRDefault="008F3B18" w:rsidP="008F3B18">
      <w:pPr>
        <w:spacing w:before="120"/>
        <w:jc w:val="both"/>
        <w:rPr>
          <w:rFonts w:eastAsia="Hiragino Kaku Gothic Pro W6" w:cs="Segoe UI"/>
        </w:rPr>
      </w:pPr>
    </w:p>
    <w:p w14:paraId="118F9EC4" w14:textId="77777777" w:rsidR="0056204C" w:rsidRPr="000578E2" w:rsidRDefault="0056204C" w:rsidP="0056204C">
      <w:pPr>
        <w:pStyle w:val="Heading2"/>
        <w:spacing w:before="0"/>
        <w:rPr>
          <w:sz w:val="24"/>
          <w:szCs w:val="24"/>
        </w:rPr>
      </w:pPr>
      <w:r w:rsidRPr="000578E2">
        <w:rPr>
          <w:sz w:val="24"/>
          <w:szCs w:val="24"/>
        </w:rPr>
        <w:t xml:space="preserve">Performance to </w:t>
      </w:r>
      <w:r>
        <w:rPr>
          <w:sz w:val="24"/>
          <w:szCs w:val="24"/>
        </w:rPr>
        <w:t>31 March 2022</w:t>
      </w:r>
    </w:p>
    <w:tbl>
      <w:tblPr>
        <w:tblW w:w="9214" w:type="dxa"/>
        <w:tblInd w:w="108" w:type="dxa"/>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Layout w:type="fixed"/>
        <w:tblLook w:val="04A0" w:firstRow="1" w:lastRow="0" w:firstColumn="1" w:lastColumn="0" w:noHBand="0" w:noVBand="1"/>
      </w:tblPr>
      <w:tblGrid>
        <w:gridCol w:w="1329"/>
        <w:gridCol w:w="1365"/>
        <w:gridCol w:w="1275"/>
        <w:gridCol w:w="1276"/>
        <w:gridCol w:w="1276"/>
        <w:gridCol w:w="1276"/>
        <w:gridCol w:w="1417"/>
      </w:tblGrid>
      <w:tr w:rsidR="00334718" w:rsidRPr="000578E2" w14:paraId="6D165509" w14:textId="77777777" w:rsidTr="008F3B18">
        <w:trPr>
          <w:trHeight w:val="1021"/>
        </w:trPr>
        <w:tc>
          <w:tcPr>
            <w:tcW w:w="1329" w:type="dxa"/>
            <w:tcBorders>
              <w:bottom w:val="single" w:sz="4" w:space="0" w:color="91CFE6"/>
            </w:tcBorders>
            <w:shd w:val="clear" w:color="auto" w:fill="91CFE6"/>
            <w:vAlign w:val="center"/>
          </w:tcPr>
          <w:p w14:paraId="4DCA88A3" w14:textId="77777777"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Return %</w:t>
            </w:r>
          </w:p>
        </w:tc>
        <w:tc>
          <w:tcPr>
            <w:tcW w:w="1365" w:type="dxa"/>
            <w:tcBorders>
              <w:bottom w:val="single" w:sz="4" w:space="0" w:color="91CFE6"/>
            </w:tcBorders>
            <w:shd w:val="clear" w:color="auto" w:fill="91CFE6"/>
            <w:vAlign w:val="center"/>
          </w:tcPr>
          <w:p w14:paraId="6DE8C155" w14:textId="77777777"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Month</w:t>
            </w:r>
          </w:p>
        </w:tc>
        <w:tc>
          <w:tcPr>
            <w:tcW w:w="1275" w:type="dxa"/>
            <w:tcBorders>
              <w:bottom w:val="single" w:sz="4" w:space="0" w:color="91CFE6"/>
            </w:tcBorders>
            <w:shd w:val="clear" w:color="auto" w:fill="91CFE6"/>
            <w:vAlign w:val="center"/>
          </w:tcPr>
          <w:p w14:paraId="154DDE35" w14:textId="77777777"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Month</w:t>
            </w:r>
          </w:p>
        </w:tc>
        <w:tc>
          <w:tcPr>
            <w:tcW w:w="1276" w:type="dxa"/>
            <w:tcBorders>
              <w:bottom w:val="single" w:sz="4" w:space="0" w:color="91CFE6"/>
            </w:tcBorders>
            <w:shd w:val="clear" w:color="auto" w:fill="91CFE6"/>
            <w:vAlign w:val="center"/>
          </w:tcPr>
          <w:p w14:paraId="67524256" w14:textId="77777777"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Six Month</w:t>
            </w:r>
          </w:p>
        </w:tc>
        <w:tc>
          <w:tcPr>
            <w:tcW w:w="1276" w:type="dxa"/>
            <w:tcBorders>
              <w:bottom w:val="single" w:sz="4" w:space="0" w:color="91CFE6"/>
            </w:tcBorders>
            <w:shd w:val="clear" w:color="auto" w:fill="91CFE6"/>
            <w:vAlign w:val="center"/>
          </w:tcPr>
          <w:p w14:paraId="59C7C817" w14:textId="77777777"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Year</w:t>
            </w:r>
          </w:p>
        </w:tc>
        <w:tc>
          <w:tcPr>
            <w:tcW w:w="1276" w:type="dxa"/>
            <w:tcBorders>
              <w:bottom w:val="single" w:sz="4" w:space="0" w:color="91CFE6"/>
            </w:tcBorders>
            <w:shd w:val="clear" w:color="auto" w:fill="91CFE6"/>
            <w:vAlign w:val="center"/>
          </w:tcPr>
          <w:p w14:paraId="6053F4F1" w14:textId="77777777"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Year</w:t>
            </w:r>
          </w:p>
        </w:tc>
        <w:tc>
          <w:tcPr>
            <w:tcW w:w="1417" w:type="dxa"/>
            <w:tcBorders>
              <w:bottom w:val="single" w:sz="4" w:space="0" w:color="91CFE6"/>
            </w:tcBorders>
            <w:shd w:val="clear" w:color="auto" w:fill="91CFE6"/>
            <w:vAlign w:val="center"/>
          </w:tcPr>
          <w:p w14:paraId="0FE8B28C" w14:textId="77777777"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Since</w:t>
            </w:r>
            <w:r w:rsidRPr="000578E2">
              <w:rPr>
                <w:rFonts w:eastAsia="Hiragino Kaku Gothic Pro W6" w:cs="Segoe UI"/>
                <w:sz w:val="20"/>
                <w:szCs w:val="20"/>
              </w:rPr>
              <w:br/>
              <w:t>Inception (</w:t>
            </w:r>
            <w:r>
              <w:rPr>
                <w:rFonts w:eastAsia="Hiragino Kaku Gothic Pro W6" w:cs="Segoe UI"/>
                <w:sz w:val="20"/>
                <w:szCs w:val="20"/>
              </w:rPr>
              <w:t>29/10/2013</w:t>
            </w:r>
            <w:r w:rsidRPr="000578E2">
              <w:rPr>
                <w:rFonts w:eastAsia="Hiragino Kaku Gothic Pro W6" w:cs="Segoe UI"/>
                <w:sz w:val="20"/>
                <w:szCs w:val="20"/>
              </w:rPr>
              <w:t>)</w:t>
            </w:r>
          </w:p>
        </w:tc>
      </w:tr>
      <w:tr w:rsidR="00334718" w:rsidRPr="000578E2" w14:paraId="49B8E3B7" w14:textId="77777777" w:rsidTr="00800086">
        <w:tc>
          <w:tcPr>
            <w:tcW w:w="1329" w:type="dxa"/>
            <w:shd w:val="clear" w:color="auto" w:fill="auto"/>
            <w:vAlign w:val="center"/>
          </w:tcPr>
          <w:p w14:paraId="0CC9329C" w14:textId="77777777"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Portfolio</w:t>
            </w:r>
          </w:p>
        </w:tc>
        <w:tc>
          <w:tcPr>
            <w:tcW w:w="1365" w:type="dxa"/>
            <w:shd w:val="clear" w:color="auto" w:fill="auto"/>
            <w:vAlign w:val="center"/>
          </w:tcPr>
          <w:p w14:paraId="1DA7335C" w14:textId="77777777" w:rsidR="00334718" w:rsidRPr="000578E2" w:rsidRDefault="000939CB"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Portfolio1Month  \* MERGEFORMAT </w:instrText>
            </w:r>
            <w:r w:rsidRPr="000578E2">
              <w:rPr>
                <w:color w:val="000000"/>
                <w:sz w:val="20"/>
                <w:szCs w:val="20"/>
              </w:rPr>
              <w:fldChar w:fldCharType="separate"/>
            </w:r>
            <w:r w:rsidRPr="000578E2">
              <w:rPr>
                <w:color w:val="000000"/>
                <w:sz w:val="20"/>
                <w:szCs w:val="20"/>
              </w:rPr>
              <w:t>3.35</w:t>
            </w:r>
            <w:r w:rsidRPr="000578E2">
              <w:rPr>
                <w:color w:val="000000"/>
                <w:sz w:val="20"/>
                <w:szCs w:val="20"/>
              </w:rPr>
              <w:fldChar w:fldCharType="end"/>
            </w:r>
          </w:p>
        </w:tc>
        <w:tc>
          <w:tcPr>
            <w:tcW w:w="1275" w:type="dxa"/>
            <w:shd w:val="clear" w:color="auto" w:fill="auto"/>
            <w:vAlign w:val="center"/>
          </w:tcPr>
          <w:p w14:paraId="326A1C1A" w14:textId="77777777" w:rsidR="00334718" w:rsidRPr="000578E2" w:rsidRDefault="00DC7EC9"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Portfolio3Month  \* MERGEFORMAT </w:instrText>
            </w:r>
            <w:r w:rsidRPr="000578E2">
              <w:rPr>
                <w:color w:val="000000"/>
                <w:sz w:val="20"/>
                <w:szCs w:val="20"/>
              </w:rPr>
              <w:fldChar w:fldCharType="separate"/>
            </w:r>
            <w:r w:rsidRPr="000578E2">
              <w:rPr>
                <w:color w:val="000000"/>
                <w:sz w:val="20"/>
                <w:szCs w:val="20"/>
              </w:rPr>
              <w:t>-0.11</w:t>
            </w:r>
            <w:r w:rsidRPr="000578E2">
              <w:rPr>
                <w:color w:val="000000"/>
                <w:sz w:val="20"/>
                <w:szCs w:val="20"/>
              </w:rPr>
              <w:fldChar w:fldCharType="end"/>
            </w:r>
          </w:p>
        </w:tc>
        <w:tc>
          <w:tcPr>
            <w:tcW w:w="1276" w:type="dxa"/>
            <w:shd w:val="clear" w:color="auto" w:fill="auto"/>
            <w:vAlign w:val="center"/>
          </w:tcPr>
          <w:p w14:paraId="2BC4D675"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Portfolio6Month  \* MERGEFORMAT </w:instrText>
            </w:r>
            <w:r w:rsidRPr="000578E2">
              <w:rPr>
                <w:color w:val="000000"/>
                <w:sz w:val="20"/>
                <w:szCs w:val="20"/>
              </w:rPr>
              <w:fldChar w:fldCharType="separate"/>
            </w:r>
            <w:r w:rsidRPr="000578E2">
              <w:rPr>
                <w:color w:val="000000"/>
                <w:sz w:val="20"/>
                <w:szCs w:val="20"/>
              </w:rPr>
              <w:t>0.97</w:t>
            </w:r>
            <w:r w:rsidRPr="000578E2">
              <w:rPr>
                <w:color w:val="000000"/>
                <w:sz w:val="20"/>
                <w:szCs w:val="20"/>
              </w:rPr>
              <w:fldChar w:fldCharType="end"/>
            </w:r>
          </w:p>
        </w:tc>
        <w:tc>
          <w:tcPr>
            <w:tcW w:w="1276" w:type="dxa"/>
            <w:shd w:val="clear" w:color="auto" w:fill="auto"/>
            <w:vAlign w:val="center"/>
          </w:tcPr>
          <w:p w14:paraId="39640525"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Portfolio12Month  \* MERGEFORMAT </w:instrText>
            </w:r>
            <w:r w:rsidRPr="000578E2">
              <w:rPr>
                <w:color w:val="000000"/>
                <w:sz w:val="20"/>
                <w:szCs w:val="20"/>
              </w:rPr>
              <w:fldChar w:fldCharType="separate"/>
            </w:r>
            <w:r w:rsidRPr="000578E2">
              <w:rPr>
                <w:color w:val="000000"/>
                <w:sz w:val="20"/>
                <w:szCs w:val="20"/>
              </w:rPr>
              <w:t>1.70</w:t>
            </w:r>
            <w:r w:rsidRPr="000578E2">
              <w:rPr>
                <w:color w:val="000000"/>
                <w:sz w:val="20"/>
                <w:szCs w:val="20"/>
              </w:rPr>
              <w:fldChar w:fldCharType="end"/>
            </w:r>
          </w:p>
        </w:tc>
        <w:tc>
          <w:tcPr>
            <w:tcW w:w="1276" w:type="dxa"/>
            <w:vAlign w:val="center"/>
          </w:tcPr>
          <w:p w14:paraId="4D263096"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Portfolio3Years  \* MERGEFORMAT </w:instrText>
            </w:r>
            <w:r w:rsidRPr="000578E2">
              <w:rPr>
                <w:color w:val="000000"/>
                <w:sz w:val="20"/>
                <w:szCs w:val="20"/>
              </w:rPr>
              <w:fldChar w:fldCharType="separate"/>
            </w:r>
            <w:r w:rsidRPr="000578E2">
              <w:rPr>
                <w:color w:val="000000"/>
                <w:sz w:val="20"/>
                <w:szCs w:val="20"/>
              </w:rPr>
              <w:t>13.71</w:t>
            </w:r>
            <w:r w:rsidRPr="000578E2">
              <w:rPr>
                <w:color w:val="000000"/>
                <w:sz w:val="20"/>
                <w:szCs w:val="20"/>
              </w:rPr>
              <w:fldChar w:fldCharType="end"/>
            </w:r>
          </w:p>
        </w:tc>
        <w:tc>
          <w:tcPr>
            <w:tcW w:w="1417" w:type="dxa"/>
            <w:shd w:val="clear" w:color="auto" w:fill="auto"/>
            <w:vAlign w:val="center"/>
          </w:tcPr>
          <w:p w14:paraId="4D22C3A8" w14:textId="77777777"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PortfolioInceptionPa  \* MERGEFORMAT </w:instrText>
            </w:r>
            <w:r w:rsidRPr="000578E2">
              <w:rPr>
                <w:color w:val="000000"/>
                <w:sz w:val="20"/>
                <w:szCs w:val="20"/>
              </w:rPr>
              <w:fldChar w:fldCharType="separate"/>
            </w:r>
            <w:r w:rsidRPr="000578E2">
              <w:rPr>
                <w:color w:val="000000"/>
                <w:sz w:val="20"/>
                <w:szCs w:val="20"/>
              </w:rPr>
              <w:t>11.92</w:t>
            </w:r>
            <w:r w:rsidRPr="000578E2">
              <w:rPr>
                <w:color w:val="000000"/>
                <w:sz w:val="20"/>
                <w:szCs w:val="20"/>
              </w:rPr>
              <w:fldChar w:fldCharType="end"/>
            </w:r>
          </w:p>
        </w:tc>
      </w:tr>
      <w:tr w:rsidR="00334718" w:rsidRPr="000578E2" w14:paraId="565779E6" w14:textId="77777777" w:rsidTr="00800086">
        <w:tc>
          <w:tcPr>
            <w:tcW w:w="1329" w:type="dxa"/>
            <w:shd w:val="clear" w:color="auto" w:fill="auto"/>
            <w:vAlign w:val="center"/>
          </w:tcPr>
          <w:p w14:paraId="5504BB98" w14:textId="77777777"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Benchmark</w:t>
            </w:r>
          </w:p>
        </w:tc>
        <w:tc>
          <w:tcPr>
            <w:tcW w:w="1365" w:type="dxa"/>
            <w:shd w:val="clear" w:color="auto" w:fill="auto"/>
            <w:vAlign w:val="center"/>
          </w:tcPr>
          <w:p w14:paraId="319DA770"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Benchmark1Month  \* MERGEFORMAT </w:instrText>
            </w:r>
            <w:r w:rsidRPr="000578E2">
              <w:rPr>
                <w:color w:val="000000"/>
                <w:sz w:val="20"/>
                <w:szCs w:val="20"/>
              </w:rPr>
              <w:fldChar w:fldCharType="separate"/>
            </w:r>
            <w:r w:rsidRPr="000578E2">
              <w:rPr>
                <w:color w:val="000000"/>
                <w:sz w:val="20"/>
                <w:szCs w:val="20"/>
              </w:rPr>
              <w:t>6.89</w:t>
            </w:r>
            <w:r w:rsidRPr="000578E2">
              <w:rPr>
                <w:color w:val="000000"/>
                <w:sz w:val="20"/>
                <w:szCs w:val="20"/>
              </w:rPr>
              <w:fldChar w:fldCharType="end"/>
            </w:r>
          </w:p>
        </w:tc>
        <w:tc>
          <w:tcPr>
            <w:tcW w:w="1275" w:type="dxa"/>
            <w:shd w:val="clear" w:color="auto" w:fill="auto"/>
            <w:vAlign w:val="center"/>
          </w:tcPr>
          <w:p w14:paraId="082D38C6"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Benchmark3Month  \* MERGEFORMAT </w:instrText>
            </w:r>
            <w:r w:rsidRPr="000578E2">
              <w:rPr>
                <w:color w:val="000000"/>
                <w:sz w:val="20"/>
                <w:szCs w:val="20"/>
              </w:rPr>
              <w:fldChar w:fldCharType="separate"/>
            </w:r>
            <w:r w:rsidRPr="000578E2">
              <w:rPr>
                <w:color w:val="000000"/>
                <w:sz w:val="20"/>
                <w:szCs w:val="20"/>
              </w:rPr>
              <w:t>2.24</w:t>
            </w:r>
            <w:r w:rsidRPr="000578E2">
              <w:rPr>
                <w:color w:val="000000"/>
                <w:sz w:val="20"/>
                <w:szCs w:val="20"/>
              </w:rPr>
              <w:fldChar w:fldCharType="end"/>
            </w:r>
          </w:p>
        </w:tc>
        <w:tc>
          <w:tcPr>
            <w:tcW w:w="1276" w:type="dxa"/>
            <w:shd w:val="clear" w:color="auto" w:fill="auto"/>
            <w:vAlign w:val="center"/>
          </w:tcPr>
          <w:p w14:paraId="49E7C98A"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Benchmark6Month  \* MERGEFORMAT </w:instrText>
            </w:r>
            <w:r w:rsidRPr="000578E2">
              <w:rPr>
                <w:color w:val="000000"/>
                <w:sz w:val="20"/>
                <w:szCs w:val="20"/>
              </w:rPr>
              <w:fldChar w:fldCharType="separate"/>
            </w:r>
            <w:r w:rsidRPr="000578E2">
              <w:rPr>
                <w:color w:val="000000"/>
                <w:sz w:val="20"/>
                <w:szCs w:val="20"/>
              </w:rPr>
              <w:t>4.38</w:t>
            </w:r>
            <w:r w:rsidRPr="000578E2">
              <w:rPr>
                <w:color w:val="000000"/>
                <w:sz w:val="20"/>
                <w:szCs w:val="20"/>
              </w:rPr>
              <w:fldChar w:fldCharType="end"/>
            </w:r>
          </w:p>
        </w:tc>
        <w:tc>
          <w:tcPr>
            <w:tcW w:w="1276" w:type="dxa"/>
            <w:shd w:val="clear" w:color="auto" w:fill="auto"/>
            <w:vAlign w:val="center"/>
          </w:tcPr>
          <w:p w14:paraId="5C2B8328"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Benchmark12Month  \* MERGEFORMAT </w:instrText>
            </w:r>
            <w:r w:rsidRPr="000578E2">
              <w:rPr>
                <w:color w:val="000000"/>
                <w:sz w:val="20"/>
                <w:szCs w:val="20"/>
              </w:rPr>
              <w:fldChar w:fldCharType="separate"/>
            </w:r>
            <w:r w:rsidRPr="000578E2">
              <w:rPr>
                <w:color w:val="000000"/>
                <w:sz w:val="20"/>
                <w:szCs w:val="20"/>
              </w:rPr>
              <w:t>14.97</w:t>
            </w:r>
            <w:r w:rsidRPr="000578E2">
              <w:rPr>
                <w:color w:val="000000"/>
                <w:sz w:val="20"/>
                <w:szCs w:val="20"/>
              </w:rPr>
              <w:fldChar w:fldCharType="end"/>
            </w:r>
          </w:p>
        </w:tc>
        <w:tc>
          <w:tcPr>
            <w:tcW w:w="1276" w:type="dxa"/>
            <w:vAlign w:val="center"/>
          </w:tcPr>
          <w:p w14:paraId="0C536F13" w14:textId="77777777"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Benchmark3Years  \* MERGEFORMAT </w:instrText>
            </w:r>
            <w:r w:rsidRPr="000578E2">
              <w:rPr>
                <w:color w:val="000000"/>
                <w:sz w:val="20"/>
                <w:szCs w:val="20"/>
              </w:rPr>
              <w:fldChar w:fldCharType="separate"/>
            </w:r>
            <w:r w:rsidRPr="000578E2">
              <w:rPr>
                <w:color w:val="000000"/>
                <w:sz w:val="20"/>
                <w:szCs w:val="20"/>
              </w:rPr>
              <w:t>10.58</w:t>
            </w:r>
            <w:r w:rsidRPr="000578E2">
              <w:rPr>
                <w:color w:val="000000"/>
                <w:sz w:val="20"/>
                <w:szCs w:val="20"/>
              </w:rPr>
              <w:fldChar w:fldCharType="end"/>
            </w:r>
          </w:p>
        </w:tc>
        <w:tc>
          <w:tcPr>
            <w:tcW w:w="1417" w:type="dxa"/>
            <w:shd w:val="clear" w:color="auto" w:fill="auto"/>
            <w:vAlign w:val="center"/>
          </w:tcPr>
          <w:p w14:paraId="77D8E1B3" w14:textId="77777777"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BenchmarkInceptionPa  \* MERGEFORMAT </w:instrText>
            </w:r>
            <w:r w:rsidRPr="000578E2">
              <w:rPr>
                <w:color w:val="000000"/>
                <w:sz w:val="20"/>
                <w:szCs w:val="20"/>
              </w:rPr>
              <w:fldChar w:fldCharType="separate"/>
            </w:r>
            <w:r w:rsidRPr="000578E2">
              <w:rPr>
                <w:color w:val="000000"/>
                <w:sz w:val="20"/>
                <w:szCs w:val="20"/>
              </w:rPr>
              <w:t>8.29</w:t>
            </w:r>
            <w:r w:rsidRPr="000578E2">
              <w:rPr>
                <w:color w:val="000000"/>
                <w:sz w:val="20"/>
                <w:szCs w:val="20"/>
              </w:rPr>
              <w:fldChar w:fldCharType="end"/>
            </w:r>
          </w:p>
        </w:tc>
      </w:tr>
      <w:tr w:rsidR="00334718" w:rsidRPr="000578E2" w14:paraId="553D6EB3" w14:textId="77777777" w:rsidTr="00800086">
        <w:tc>
          <w:tcPr>
            <w:tcW w:w="1329" w:type="dxa"/>
            <w:shd w:val="clear" w:color="auto" w:fill="auto"/>
            <w:vAlign w:val="center"/>
          </w:tcPr>
          <w:p w14:paraId="74EC5FB7" w14:textId="77777777" w:rsidR="00334718" w:rsidRPr="000578E2" w:rsidRDefault="00334718" w:rsidP="00A96812">
            <w:pPr>
              <w:ind w:left="-113"/>
              <w:jc w:val="center"/>
              <w:rPr>
                <w:rFonts w:eastAsia="Hiragino Kaku Gothic Pro W6" w:cs="Segoe UI"/>
                <w:b/>
                <w:sz w:val="20"/>
                <w:szCs w:val="20"/>
              </w:rPr>
            </w:pPr>
            <w:r w:rsidRPr="000578E2">
              <w:rPr>
                <w:rFonts w:eastAsia="Hiragino Kaku Gothic Pro W6" w:cs="Segoe UI"/>
                <w:b/>
                <w:sz w:val="20"/>
                <w:szCs w:val="20"/>
              </w:rPr>
              <w:t>Relative Performance</w:t>
            </w:r>
          </w:p>
        </w:tc>
        <w:tc>
          <w:tcPr>
            <w:tcW w:w="1365" w:type="dxa"/>
            <w:shd w:val="clear" w:color="auto" w:fill="auto"/>
            <w:vAlign w:val="center"/>
          </w:tcPr>
          <w:p w14:paraId="2B20F6A7" w14:textId="77777777"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Relative1Month  \* MERGEFORMAT </w:instrText>
            </w:r>
            <w:r w:rsidRPr="000578E2">
              <w:rPr>
                <w:b/>
                <w:color w:val="000000"/>
                <w:sz w:val="20"/>
                <w:szCs w:val="20"/>
              </w:rPr>
              <w:fldChar w:fldCharType="separate"/>
            </w:r>
            <w:r w:rsidRPr="000578E2">
              <w:rPr>
                <w:b/>
                <w:color w:val="000000"/>
                <w:sz w:val="20"/>
                <w:szCs w:val="20"/>
              </w:rPr>
              <w:t>-3.54</w:t>
            </w:r>
            <w:r w:rsidRPr="000578E2">
              <w:rPr>
                <w:b/>
                <w:color w:val="000000"/>
                <w:sz w:val="20"/>
                <w:szCs w:val="20"/>
              </w:rPr>
              <w:fldChar w:fldCharType="end"/>
            </w:r>
          </w:p>
        </w:tc>
        <w:tc>
          <w:tcPr>
            <w:tcW w:w="1275" w:type="dxa"/>
            <w:shd w:val="clear" w:color="auto" w:fill="auto"/>
            <w:vAlign w:val="center"/>
          </w:tcPr>
          <w:p w14:paraId="2AA33238" w14:textId="77777777"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Relative3Month  \* MERGEFORMAT </w:instrText>
            </w:r>
            <w:r w:rsidRPr="000578E2">
              <w:rPr>
                <w:b/>
                <w:color w:val="000000"/>
                <w:sz w:val="20"/>
                <w:szCs w:val="20"/>
              </w:rPr>
              <w:fldChar w:fldCharType="separate"/>
            </w:r>
            <w:r w:rsidRPr="000578E2">
              <w:rPr>
                <w:b/>
                <w:color w:val="000000"/>
                <w:sz w:val="20"/>
                <w:szCs w:val="20"/>
              </w:rPr>
              <w:t>-2.35</w:t>
            </w:r>
            <w:r w:rsidRPr="000578E2">
              <w:rPr>
                <w:b/>
                <w:color w:val="000000"/>
                <w:sz w:val="20"/>
                <w:szCs w:val="20"/>
              </w:rPr>
              <w:fldChar w:fldCharType="end"/>
            </w:r>
          </w:p>
        </w:tc>
        <w:tc>
          <w:tcPr>
            <w:tcW w:w="1276" w:type="dxa"/>
            <w:shd w:val="clear" w:color="auto" w:fill="auto"/>
            <w:vAlign w:val="center"/>
          </w:tcPr>
          <w:p w14:paraId="51CA681B" w14:textId="77777777"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Relative6Month  \* MERGEFORMAT </w:instrText>
            </w:r>
            <w:r w:rsidRPr="000578E2">
              <w:rPr>
                <w:b/>
                <w:color w:val="000000"/>
                <w:sz w:val="20"/>
                <w:szCs w:val="20"/>
              </w:rPr>
              <w:fldChar w:fldCharType="separate"/>
            </w:r>
            <w:r w:rsidRPr="000578E2">
              <w:rPr>
                <w:b/>
                <w:color w:val="000000"/>
                <w:sz w:val="20"/>
                <w:szCs w:val="20"/>
              </w:rPr>
              <w:t>-3.41</w:t>
            </w:r>
            <w:r w:rsidRPr="000578E2">
              <w:rPr>
                <w:b/>
                <w:color w:val="000000"/>
                <w:sz w:val="20"/>
                <w:szCs w:val="20"/>
              </w:rPr>
              <w:fldChar w:fldCharType="end"/>
            </w:r>
          </w:p>
        </w:tc>
        <w:tc>
          <w:tcPr>
            <w:tcW w:w="1276" w:type="dxa"/>
            <w:shd w:val="clear" w:color="auto" w:fill="auto"/>
            <w:vAlign w:val="center"/>
          </w:tcPr>
          <w:p w14:paraId="5D08C4E0" w14:textId="77777777"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Relative12Month  \* MERGEFORMAT </w:instrText>
            </w:r>
            <w:r w:rsidRPr="000578E2">
              <w:rPr>
                <w:b/>
                <w:color w:val="000000"/>
                <w:sz w:val="20"/>
                <w:szCs w:val="20"/>
              </w:rPr>
              <w:fldChar w:fldCharType="separate"/>
            </w:r>
            <w:r w:rsidRPr="000578E2">
              <w:rPr>
                <w:b/>
                <w:color w:val="000000"/>
                <w:sz w:val="20"/>
                <w:szCs w:val="20"/>
              </w:rPr>
              <w:t>-13.27</w:t>
            </w:r>
            <w:r w:rsidRPr="000578E2">
              <w:rPr>
                <w:b/>
                <w:color w:val="000000"/>
                <w:sz w:val="20"/>
                <w:szCs w:val="20"/>
              </w:rPr>
              <w:fldChar w:fldCharType="end"/>
            </w:r>
          </w:p>
        </w:tc>
        <w:tc>
          <w:tcPr>
            <w:tcW w:w="1276" w:type="dxa"/>
            <w:vAlign w:val="center"/>
          </w:tcPr>
          <w:p w14:paraId="3475A2E3" w14:textId="77777777"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Relative3Years  \* MERGEFORMAT </w:instrText>
            </w:r>
            <w:r w:rsidRPr="000578E2">
              <w:rPr>
                <w:b/>
                <w:color w:val="000000"/>
                <w:sz w:val="20"/>
                <w:szCs w:val="20"/>
              </w:rPr>
              <w:fldChar w:fldCharType="separate"/>
            </w:r>
            <w:r w:rsidRPr="000578E2">
              <w:rPr>
                <w:b/>
                <w:color w:val="000000"/>
                <w:sz w:val="20"/>
                <w:szCs w:val="20"/>
              </w:rPr>
              <w:t>3.13</w:t>
            </w:r>
            <w:r w:rsidRPr="000578E2">
              <w:rPr>
                <w:b/>
                <w:color w:val="000000"/>
                <w:sz w:val="20"/>
                <w:szCs w:val="20"/>
              </w:rPr>
              <w:fldChar w:fldCharType="end"/>
            </w:r>
          </w:p>
        </w:tc>
        <w:tc>
          <w:tcPr>
            <w:tcW w:w="1417" w:type="dxa"/>
            <w:shd w:val="clear" w:color="auto" w:fill="auto"/>
            <w:vAlign w:val="center"/>
          </w:tcPr>
          <w:p w14:paraId="1FF6AC51" w14:textId="77777777"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RelativeInceptionPa  \* MERGEFORMAT </w:instrText>
            </w:r>
            <w:r w:rsidRPr="000578E2">
              <w:rPr>
                <w:b/>
                <w:color w:val="000000"/>
                <w:sz w:val="20"/>
                <w:szCs w:val="20"/>
              </w:rPr>
              <w:fldChar w:fldCharType="separate"/>
            </w:r>
            <w:r w:rsidRPr="000578E2">
              <w:rPr>
                <w:b/>
                <w:color w:val="000000"/>
                <w:sz w:val="20"/>
                <w:szCs w:val="20"/>
              </w:rPr>
              <w:t>3.63</w:t>
            </w:r>
            <w:r w:rsidRPr="000578E2">
              <w:rPr>
                <w:b/>
                <w:color w:val="000000"/>
                <w:sz w:val="20"/>
                <w:szCs w:val="20"/>
              </w:rPr>
              <w:fldChar w:fldCharType="end"/>
            </w:r>
          </w:p>
        </w:tc>
      </w:tr>
    </w:tbl>
    <w:p w14:paraId="30CCA99C" w14:textId="77777777" w:rsidR="008D5309" w:rsidRPr="000578E2" w:rsidRDefault="008D5309" w:rsidP="008D5309">
      <w:pPr>
        <w:spacing w:after="0"/>
        <w:jc w:val="both"/>
        <w:rPr>
          <w:rFonts w:eastAsia="Hiragino Kaku Gothic Pro W6" w:cs="Segoe UI"/>
          <w:sz w:val="16"/>
          <w:szCs w:val="16"/>
        </w:rPr>
      </w:pPr>
      <w:r w:rsidRPr="000578E2">
        <w:rPr>
          <w:rFonts w:eastAsia="Hiragino Kaku Gothic Pro W6" w:cs="Segoe UI"/>
          <w:sz w:val="16"/>
          <w:szCs w:val="16"/>
        </w:rPr>
        <w:t xml:space="preserve">The table above sets out the investment performance returns (AFTER investment management fees, but BEFORE administration fees, </w:t>
      </w:r>
      <w:proofErr w:type="gramStart"/>
      <w:r w:rsidRPr="000578E2">
        <w:rPr>
          <w:rFonts w:eastAsia="Hiragino Kaku Gothic Pro W6" w:cs="Segoe UI"/>
          <w:sz w:val="16"/>
          <w:szCs w:val="16"/>
        </w:rPr>
        <w:t>performance based</w:t>
      </w:r>
      <w:proofErr w:type="gramEnd"/>
      <w:r w:rsidRPr="000578E2">
        <w:rPr>
          <w:rFonts w:eastAsia="Hiragino Kaku Gothic Pro W6" w:cs="Segoe UI"/>
          <w:sz w:val="16"/>
          <w:szCs w:val="16"/>
        </w:rPr>
        <w:t xml:space="preserve"> fees and taxes) for the Portfolio. The performance returns have been calculated on a daily basis taking into account brokerage costs, and are accumulated for the period shown. Returns are shown as annualised if the period is over 1 year, or as total returns otherwise.</w:t>
      </w:r>
    </w:p>
    <w:p w14:paraId="3693A4AF" w14:textId="77777777" w:rsidR="008D5309" w:rsidRPr="000578E2" w:rsidRDefault="000A2C55" w:rsidP="008F3B18">
      <w:pPr>
        <w:pStyle w:val="Heading2"/>
        <w:spacing w:before="120" w:after="60"/>
        <w:rPr>
          <w:rFonts w:eastAsia="Hiragino Kaku Gothic Pro W6" w:cs="Segoe UI"/>
          <w:b w:val="0"/>
          <w:color w:val="1F497D"/>
          <w:sz w:val="24"/>
          <w:szCs w:val="24"/>
        </w:rPr>
      </w:pPr>
      <w:r w:rsidRPr="000578E2">
        <w:t>Quarterly Review</w:t>
      </w:r>
    </w:p>
    <w:p w14:paraId="3A494D4A" w14:textId="28B85252" w:rsidR="00CF5854" w:rsidRDefault="001734D3" w:rsidP="00382DB8">
      <w:pPr>
        <w:spacing w:before="120"/>
        <w:jc w:val="both"/>
        <w:rPr>
          <w:rFonts w:eastAsia="Hiragino Kaku Gothic Pro W6" w:cs="Segoe UI"/>
        </w:rPr>
      </w:pPr>
      <w:r>
        <w:rPr>
          <w:rFonts w:eastAsia="Hiragino Kaku Gothic Pro W6" w:cs="Segoe UI"/>
        </w:rPr>
        <w:t xml:space="preserve">The Ukraine war dominated the latter part of the quarter, although markets largely took it in its stride, continuing to ignore the economic effects which will surely ensue – namely further supply chain disruptions, shortages of key inputs, demand destruction and inflation. The portfolio unsurprisingly </w:t>
      </w:r>
      <w:r w:rsidR="00CF5854">
        <w:rPr>
          <w:rFonts w:eastAsia="Hiragino Kaku Gothic Pro W6" w:cs="Segoe UI"/>
        </w:rPr>
        <w:t xml:space="preserve">slightly </w:t>
      </w:r>
      <w:r>
        <w:rPr>
          <w:rFonts w:eastAsia="Hiragino Kaku Gothic Pro W6" w:cs="Segoe UI"/>
        </w:rPr>
        <w:t xml:space="preserve">underperformed during the quarter, as we </w:t>
      </w:r>
      <w:r w:rsidR="00CF5854">
        <w:rPr>
          <w:rFonts w:eastAsia="Hiragino Kaku Gothic Pro W6" w:cs="Segoe UI"/>
        </w:rPr>
        <w:t>sat</w:t>
      </w:r>
      <w:r>
        <w:rPr>
          <w:rFonts w:eastAsia="Hiragino Kaku Gothic Pro W6" w:cs="Segoe UI"/>
        </w:rPr>
        <w:t xml:space="preserve"> defensively, </w:t>
      </w:r>
      <w:r w:rsidR="00CF5854">
        <w:rPr>
          <w:rFonts w:eastAsia="Hiragino Kaku Gothic Pro W6" w:cs="Segoe UI"/>
        </w:rPr>
        <w:t>holding 20% cash, several gold positions, and mostly special situations that will benefit from the world chaos. Stocks like the banks, which do quite well as interest rates rise, Elders (reflecting favourable agricultural conditions), AGL, which has been absent from the portfolio for at least a decade, as well as continuing with gold stocks.</w:t>
      </w:r>
    </w:p>
    <w:p w14:paraId="559367DC" w14:textId="77777777" w:rsidR="00CF5854" w:rsidRDefault="00CF5854" w:rsidP="00382DB8">
      <w:pPr>
        <w:spacing w:before="120"/>
        <w:jc w:val="both"/>
        <w:rPr>
          <w:rFonts w:eastAsia="Hiragino Kaku Gothic Pro W6" w:cs="Segoe UI"/>
        </w:rPr>
      </w:pPr>
    </w:p>
    <w:p w14:paraId="59218D56" w14:textId="2926EE5E" w:rsidR="008D5309" w:rsidRPr="000578E2" w:rsidRDefault="001734D3" w:rsidP="00382DB8">
      <w:pPr>
        <w:spacing w:before="120"/>
        <w:jc w:val="both"/>
        <w:rPr>
          <w:rFonts w:eastAsia="Hiragino Kaku Gothic Pro W6" w:cs="Segoe UI"/>
        </w:rPr>
      </w:pPr>
      <w:r>
        <w:rPr>
          <w:rFonts w:eastAsia="Hiragino Kaku Gothic Pro W6" w:cs="Segoe UI"/>
        </w:rPr>
        <w:t xml:space="preserve"> </w:t>
      </w:r>
    </w:p>
    <w:p w14:paraId="77380C2F" w14:textId="77777777" w:rsidR="00382DB8" w:rsidRPr="000578E2" w:rsidRDefault="00382DB8" w:rsidP="00382DB8">
      <w:pPr>
        <w:spacing w:before="120"/>
        <w:jc w:val="both"/>
        <w:rPr>
          <w:rFonts w:eastAsia="Hiragino Kaku Gothic Pro W6" w:cs="Segoe UI"/>
        </w:rPr>
      </w:pPr>
    </w:p>
    <w:p w14:paraId="3C384F26" w14:textId="77777777" w:rsidR="008F3B18" w:rsidRPr="000578E2" w:rsidRDefault="008F3B18" w:rsidP="008D5309">
      <w:pPr>
        <w:rPr>
          <w:rFonts w:eastAsia="Hiragino Kaku Gothic Pro W6" w:cs="Segoe UI"/>
          <w:b/>
          <w:color w:val="1F497D"/>
        </w:rPr>
      </w:pPr>
    </w:p>
    <w:p w14:paraId="57414A2E" w14:textId="77777777" w:rsidR="008D5309" w:rsidRPr="000578E2" w:rsidRDefault="0056204C" w:rsidP="008F3B18">
      <w:pPr>
        <w:pStyle w:val="Heading2"/>
        <w:spacing w:before="120" w:after="60"/>
        <w:rPr>
          <w:sz w:val="24"/>
          <w:szCs w:val="24"/>
        </w:rPr>
      </w:pPr>
      <w:r w:rsidRPr="000578E2">
        <w:rPr>
          <w:sz w:val="24"/>
          <w:szCs w:val="24"/>
        </w:rPr>
        <w:lastRenderedPageBreak/>
        <w:t xml:space="preserve">Top </w:t>
      </w:r>
      <w:r>
        <w:rPr>
          <w:sz w:val="24"/>
          <w:szCs w:val="24"/>
        </w:rPr>
        <w:t>5</w:t>
      </w:r>
      <w:r w:rsidRPr="000578E2">
        <w:rPr>
          <w:sz w:val="24"/>
          <w:szCs w:val="24"/>
        </w:rPr>
        <w:t xml:space="preserve"> stocks by weight as at </w:t>
      </w:r>
      <w:r>
        <w:rPr>
          <w:sz w:val="24"/>
          <w:szCs w:val="24"/>
        </w:rPr>
        <w:t>31 March 2022</w:t>
      </w:r>
    </w:p>
    <w:tbl>
      <w:tblPr>
        <w:tblW w:w="0" w:type="auto"/>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0578E2" w14:paraId="5D4B9C1F" w14:textId="77777777" w:rsidTr="004734B1">
        <w:tc>
          <w:tcPr>
            <w:tcW w:w="3827" w:type="dxa"/>
            <w:tcBorders>
              <w:bottom w:val="single" w:sz="4" w:space="0" w:color="91CFE6"/>
            </w:tcBorders>
            <w:shd w:val="clear" w:color="auto" w:fill="91CFE6"/>
            <w:tcMar>
              <w:top w:w="45" w:type="dxa"/>
              <w:bottom w:w="45" w:type="dxa"/>
            </w:tcMar>
            <w:vAlign w:val="center"/>
          </w:tcPr>
          <w:p w14:paraId="7EC7BDB2" w14:textId="77777777" w:rsidR="009A2283" w:rsidRPr="000578E2" w:rsidRDefault="009A2283" w:rsidP="00A96812">
            <w:pPr>
              <w:rPr>
                <w:rFonts w:cs="Calibri"/>
                <w:b/>
                <w:color w:val="000000"/>
              </w:rPr>
            </w:pPr>
            <w:r w:rsidRPr="000578E2">
              <w:rPr>
                <w:rFonts w:cs="Calibri"/>
                <w:b/>
                <w:color w:val="000000"/>
              </w:rPr>
              <w:t>Company Name</w:t>
            </w:r>
          </w:p>
        </w:tc>
        <w:tc>
          <w:tcPr>
            <w:tcW w:w="3119" w:type="dxa"/>
            <w:tcBorders>
              <w:bottom w:val="single" w:sz="4" w:space="0" w:color="91CFE6"/>
            </w:tcBorders>
            <w:shd w:val="clear" w:color="auto" w:fill="91CFE6"/>
            <w:tcMar>
              <w:top w:w="45" w:type="dxa"/>
              <w:bottom w:w="45" w:type="dxa"/>
            </w:tcMar>
            <w:vAlign w:val="center"/>
          </w:tcPr>
          <w:p w14:paraId="4FC54096" w14:textId="77777777" w:rsidR="009A2283" w:rsidRPr="000578E2" w:rsidRDefault="009A2283" w:rsidP="00A96812">
            <w:pPr>
              <w:rPr>
                <w:rFonts w:cs="Calibri"/>
                <w:b/>
                <w:color w:val="000000"/>
              </w:rPr>
            </w:pPr>
            <w:r w:rsidRPr="000578E2">
              <w:rPr>
                <w:rFonts w:cs="Calibri"/>
                <w:b/>
                <w:color w:val="000000"/>
              </w:rPr>
              <w:t>Sector</w:t>
            </w:r>
          </w:p>
        </w:tc>
      </w:tr>
      <w:tr w:rsidR="007412C6" w14:paraId="49991E59" w14:textId="77777777">
        <w:tc>
          <w:tcPr>
            <w:tcW w:w="2310" w:type="dxa"/>
          </w:tcPr>
          <w:p w14:paraId="38B1451A" w14:textId="77777777" w:rsidR="007412C6" w:rsidRDefault="00744C0F">
            <w:r>
              <w:t xml:space="preserve">NORTHERN </w:t>
            </w:r>
            <w:r>
              <w:t>STAR ORDINARY</w:t>
            </w:r>
          </w:p>
        </w:tc>
        <w:tc>
          <w:tcPr>
            <w:tcW w:w="2310" w:type="dxa"/>
          </w:tcPr>
          <w:p w14:paraId="03B4C93F" w14:textId="77777777" w:rsidR="007412C6" w:rsidRDefault="00744C0F">
            <w:r>
              <w:t>Materials</w:t>
            </w:r>
          </w:p>
        </w:tc>
      </w:tr>
      <w:tr w:rsidR="007412C6" w14:paraId="7D50A49B" w14:textId="77777777">
        <w:tc>
          <w:tcPr>
            <w:tcW w:w="2310" w:type="dxa"/>
          </w:tcPr>
          <w:p w14:paraId="122E1979" w14:textId="77777777" w:rsidR="007412C6" w:rsidRDefault="00744C0F">
            <w:r>
              <w:t>ELDERS LIMITED ORDINARY</w:t>
            </w:r>
          </w:p>
        </w:tc>
        <w:tc>
          <w:tcPr>
            <w:tcW w:w="2310" w:type="dxa"/>
          </w:tcPr>
          <w:p w14:paraId="0D93E1F8" w14:textId="77777777" w:rsidR="007412C6" w:rsidRDefault="00744C0F">
            <w:r>
              <w:t>Consumer Staples</w:t>
            </w:r>
          </w:p>
        </w:tc>
      </w:tr>
      <w:tr w:rsidR="007412C6" w14:paraId="39CA4BA0" w14:textId="77777777">
        <w:tc>
          <w:tcPr>
            <w:tcW w:w="2310" w:type="dxa"/>
          </w:tcPr>
          <w:p w14:paraId="19C7D362" w14:textId="77777777" w:rsidR="007412C6" w:rsidRDefault="00744C0F">
            <w:r>
              <w:t>ETFS METALS. ETFS GOLD</w:t>
            </w:r>
          </w:p>
        </w:tc>
        <w:tc>
          <w:tcPr>
            <w:tcW w:w="2310" w:type="dxa"/>
          </w:tcPr>
          <w:p w14:paraId="220520DC" w14:textId="77777777" w:rsidR="007412C6" w:rsidRDefault="00744C0F">
            <w:r>
              <w:t>Financials</w:t>
            </w:r>
          </w:p>
        </w:tc>
      </w:tr>
      <w:tr w:rsidR="007412C6" w14:paraId="78FF5533" w14:textId="77777777">
        <w:tc>
          <w:tcPr>
            <w:tcW w:w="2310" w:type="dxa"/>
          </w:tcPr>
          <w:p w14:paraId="20C3F957" w14:textId="77777777" w:rsidR="007412C6" w:rsidRDefault="00744C0F">
            <w:r>
              <w:t>COMMONWEALTH BANK. ORDINARY</w:t>
            </w:r>
          </w:p>
        </w:tc>
        <w:tc>
          <w:tcPr>
            <w:tcW w:w="2310" w:type="dxa"/>
          </w:tcPr>
          <w:p w14:paraId="19414BA2" w14:textId="77777777" w:rsidR="007412C6" w:rsidRDefault="00744C0F">
            <w:r>
              <w:t>Financials</w:t>
            </w:r>
          </w:p>
        </w:tc>
      </w:tr>
      <w:tr w:rsidR="007412C6" w14:paraId="1319457D" w14:textId="77777777">
        <w:tc>
          <w:tcPr>
            <w:tcW w:w="2310" w:type="dxa"/>
          </w:tcPr>
          <w:p w14:paraId="76746D13" w14:textId="77777777" w:rsidR="007412C6" w:rsidRDefault="00744C0F">
            <w:r>
              <w:t>NATIONAL AUST. BANK ORDINARY</w:t>
            </w:r>
          </w:p>
        </w:tc>
        <w:tc>
          <w:tcPr>
            <w:tcW w:w="2310" w:type="dxa"/>
          </w:tcPr>
          <w:p w14:paraId="6B89734D" w14:textId="77777777" w:rsidR="007412C6" w:rsidRDefault="00744C0F">
            <w:r>
              <w:t>Financials</w:t>
            </w:r>
          </w:p>
        </w:tc>
      </w:tr>
    </w:tbl>
    <w:p w14:paraId="4B8B9145" w14:textId="77777777" w:rsidR="008833C7" w:rsidRDefault="008833C7" w:rsidP="008F3B18">
      <w:pPr>
        <w:pStyle w:val="Heading2"/>
        <w:spacing w:before="120" w:after="60"/>
      </w:pPr>
    </w:p>
    <w:p w14:paraId="4450DB22" w14:textId="77777777" w:rsidR="008D5309" w:rsidRPr="000578E2" w:rsidRDefault="000A2C55" w:rsidP="008F3B18">
      <w:pPr>
        <w:pStyle w:val="Heading2"/>
        <w:spacing w:before="120" w:after="60"/>
      </w:pPr>
      <w:r w:rsidRPr="000578E2">
        <w:t>Market Outlook</w:t>
      </w:r>
    </w:p>
    <w:p w14:paraId="2C4441EC" w14:textId="0B7E8CAD" w:rsidR="00414DAF" w:rsidRDefault="00614F9D" w:rsidP="00A664D9">
      <w:pPr>
        <w:spacing w:before="120"/>
        <w:jc w:val="both"/>
        <w:rPr>
          <w:rFonts w:eastAsia="Hiragino Kaku Gothic Pro W6" w:cs="Segoe UI"/>
        </w:rPr>
      </w:pPr>
      <w:r>
        <w:rPr>
          <w:rFonts w:eastAsia="Hiragino Kaku Gothic Pro W6" w:cs="Segoe UI"/>
        </w:rPr>
        <w:t>We are about to enter my definition of a bear market</w:t>
      </w:r>
      <w:r w:rsidR="00414DAF">
        <w:rPr>
          <w:rFonts w:eastAsia="Hiragino Kaku Gothic Pro W6" w:cs="Segoe UI"/>
        </w:rPr>
        <w:t xml:space="preserve"> this quarter</w:t>
      </w:r>
      <w:r>
        <w:rPr>
          <w:rFonts w:eastAsia="Hiragino Kaku Gothic Pro W6" w:cs="Segoe UI"/>
        </w:rPr>
        <w:t>, which is the period from the first rise in interest rates to the final rise</w:t>
      </w:r>
      <w:r w:rsidR="00414DAF">
        <w:rPr>
          <w:rFonts w:eastAsia="Hiragino Kaku Gothic Pro W6" w:cs="Segoe UI"/>
        </w:rPr>
        <w:t xml:space="preserve"> of the cycle</w:t>
      </w:r>
      <w:r>
        <w:rPr>
          <w:rFonts w:eastAsia="Hiragino Kaku Gothic Pro W6" w:cs="Segoe UI"/>
        </w:rPr>
        <w:t xml:space="preserve">. </w:t>
      </w:r>
      <w:r w:rsidR="00414DAF">
        <w:rPr>
          <w:rFonts w:eastAsia="Hiragino Kaku Gothic Pro W6" w:cs="Segoe UI"/>
        </w:rPr>
        <w:t xml:space="preserve">This is a more practical definition than the conventional ex post definition of a fall in equity prices. </w:t>
      </w:r>
    </w:p>
    <w:p w14:paraId="0E60EBFF" w14:textId="084C2389" w:rsidR="00614F9D" w:rsidRDefault="00414DAF" w:rsidP="00A664D9">
      <w:pPr>
        <w:spacing w:before="120"/>
        <w:jc w:val="both"/>
        <w:rPr>
          <w:rFonts w:eastAsia="Hiragino Kaku Gothic Pro W6" w:cs="Segoe UI"/>
        </w:rPr>
      </w:pPr>
      <w:r>
        <w:rPr>
          <w:rFonts w:eastAsia="Hiragino Kaku Gothic Pro W6" w:cs="Segoe UI"/>
        </w:rPr>
        <w:t xml:space="preserve">Bear markets are usually, but not always, associated with sustained periods of largely falling share prices. </w:t>
      </w:r>
      <w:r w:rsidR="00614F9D">
        <w:rPr>
          <w:rFonts w:eastAsia="Hiragino Kaku Gothic Pro W6" w:cs="Segoe UI"/>
        </w:rPr>
        <w:t xml:space="preserve"> </w:t>
      </w:r>
      <w:r>
        <w:rPr>
          <w:rFonts w:eastAsia="Hiragino Kaku Gothic Pro W6" w:cs="Segoe UI"/>
        </w:rPr>
        <w:t xml:space="preserve">At best they are associated with very muted positive returns, so the opportunity cost of being wrongly cashed up, as I was in 2021, is not as great. </w:t>
      </w:r>
    </w:p>
    <w:p w14:paraId="092BCF69" w14:textId="35F561F6" w:rsidR="00C259AC" w:rsidRDefault="00A664D9" w:rsidP="00A664D9">
      <w:pPr>
        <w:spacing w:before="120"/>
        <w:jc w:val="both"/>
        <w:rPr>
          <w:rFonts w:eastAsia="Hiragino Kaku Gothic Pro W6" w:cs="Segoe UI"/>
        </w:rPr>
      </w:pPr>
      <w:r>
        <w:rPr>
          <w:rFonts w:eastAsia="Hiragino Kaku Gothic Pro W6" w:cs="Segoe UI"/>
        </w:rPr>
        <w:t>There is no longer</w:t>
      </w:r>
      <w:r w:rsidR="00CF5854">
        <w:rPr>
          <w:rFonts w:eastAsia="Hiragino Kaku Gothic Pro W6" w:cs="Segoe UI"/>
        </w:rPr>
        <w:t xml:space="preserve"> any doubt </w:t>
      </w:r>
      <w:r w:rsidR="00414DAF">
        <w:rPr>
          <w:rFonts w:eastAsia="Hiragino Kaku Gothic Pro W6" w:cs="Segoe UI"/>
        </w:rPr>
        <w:t xml:space="preserve">in my mind </w:t>
      </w:r>
      <w:r w:rsidR="00CF5854">
        <w:rPr>
          <w:rFonts w:eastAsia="Hiragino Kaku Gothic Pro W6" w:cs="Segoe UI"/>
        </w:rPr>
        <w:t xml:space="preserve">that inflation </w:t>
      </w:r>
      <w:r w:rsidR="00C259AC">
        <w:rPr>
          <w:rFonts w:eastAsia="Hiragino Kaku Gothic Pro W6" w:cs="Segoe UI"/>
        </w:rPr>
        <w:t>has returned</w:t>
      </w:r>
      <w:r w:rsidR="00CF5854">
        <w:rPr>
          <w:rFonts w:eastAsia="Hiragino Kaku Gothic Pro W6" w:cs="Segoe UI"/>
        </w:rPr>
        <w:t xml:space="preserve"> to </w:t>
      </w:r>
      <w:r>
        <w:rPr>
          <w:rFonts w:eastAsia="Hiragino Kaku Gothic Pro W6" w:cs="Segoe UI"/>
        </w:rPr>
        <w:t xml:space="preserve">the sorts of levels </w:t>
      </w:r>
      <w:r w:rsidR="00C259AC">
        <w:rPr>
          <w:rFonts w:eastAsia="Hiragino Kaku Gothic Pro W6" w:cs="Segoe UI"/>
        </w:rPr>
        <w:t xml:space="preserve">last </w:t>
      </w:r>
      <w:r>
        <w:rPr>
          <w:rFonts w:eastAsia="Hiragino Kaku Gothic Pro W6" w:cs="Segoe UI"/>
        </w:rPr>
        <w:t>seen in the seventies</w:t>
      </w:r>
      <w:r w:rsidR="00C259AC">
        <w:rPr>
          <w:rFonts w:eastAsia="Hiragino Kaku Gothic Pro W6" w:cs="Segoe UI"/>
        </w:rPr>
        <w:t>, and with the energy market in flux from the Russian sanctions, its likely to stay endemic.</w:t>
      </w:r>
      <w:r>
        <w:rPr>
          <w:rFonts w:eastAsia="Hiragino Kaku Gothic Pro W6" w:cs="Segoe UI"/>
        </w:rPr>
        <w:t xml:space="preserve"> </w:t>
      </w:r>
    </w:p>
    <w:p w14:paraId="6EDD76FE" w14:textId="4ECE0946" w:rsidR="00D748DB" w:rsidRDefault="00C259AC" w:rsidP="00A664D9">
      <w:pPr>
        <w:spacing w:before="120"/>
        <w:jc w:val="both"/>
        <w:rPr>
          <w:rFonts w:eastAsia="Hiragino Kaku Gothic Pro W6" w:cs="Segoe UI"/>
        </w:rPr>
      </w:pPr>
      <w:r>
        <w:rPr>
          <w:rFonts w:eastAsia="Hiragino Kaku Gothic Pro W6" w:cs="Segoe UI"/>
        </w:rPr>
        <w:t>In addition, the</w:t>
      </w:r>
      <w:r w:rsidR="00A664D9">
        <w:rPr>
          <w:rFonts w:eastAsia="Hiragino Kaku Gothic Pro W6" w:cs="Segoe UI"/>
        </w:rPr>
        <w:t xml:space="preserve"> global expansion of money supply </w:t>
      </w:r>
      <w:r w:rsidR="000F6AB5">
        <w:rPr>
          <w:rFonts w:eastAsia="Hiragino Kaku Gothic Pro W6" w:cs="Segoe UI"/>
        </w:rPr>
        <w:t xml:space="preserve">seen </w:t>
      </w:r>
      <w:r w:rsidR="00A664D9">
        <w:rPr>
          <w:rFonts w:eastAsia="Hiragino Kaku Gothic Pro W6" w:cs="Segoe UI"/>
        </w:rPr>
        <w:t xml:space="preserve">over the past 14 years </w:t>
      </w:r>
      <w:r w:rsidR="00414DAF">
        <w:rPr>
          <w:rFonts w:eastAsia="Hiragino Kaku Gothic Pro W6" w:cs="Segoe UI"/>
        </w:rPr>
        <w:t xml:space="preserve">is about to reverse. It </w:t>
      </w:r>
      <w:r w:rsidR="00A664D9">
        <w:rPr>
          <w:rFonts w:eastAsia="Hiragino Kaku Gothic Pro W6" w:cs="Segoe UI"/>
        </w:rPr>
        <w:t>has been breathtaking</w:t>
      </w:r>
      <w:r>
        <w:rPr>
          <w:rFonts w:eastAsia="Hiragino Kaku Gothic Pro W6" w:cs="Segoe UI"/>
        </w:rPr>
        <w:t xml:space="preserve"> in scale. The big 4 (USA, EU, Jap, China) grew their balance sheets from $US$5 trillion to $US$20 trillion in the decade to 2019 following the 2008 crisis</w:t>
      </w:r>
      <w:r w:rsidR="00A664D9">
        <w:rPr>
          <w:rFonts w:eastAsia="Hiragino Kaku Gothic Pro W6" w:cs="Segoe UI"/>
        </w:rPr>
        <w:t xml:space="preserve">. </w:t>
      </w:r>
      <w:r>
        <w:rPr>
          <w:rFonts w:eastAsia="Hiragino Kaku Gothic Pro W6" w:cs="Segoe UI"/>
        </w:rPr>
        <w:t>They’ve added another US$10 trillion in the first two years of covid. There is a high correlation between balance sheet expansion and asset price inflation. So not surprisingly, we’ve witnessed explosions in</w:t>
      </w:r>
      <w:r w:rsidR="00A664D9">
        <w:rPr>
          <w:rFonts w:eastAsia="Hiragino Kaku Gothic Pro W6" w:cs="Segoe UI"/>
        </w:rPr>
        <w:t xml:space="preserve"> property </w:t>
      </w:r>
      <w:r>
        <w:rPr>
          <w:rFonts w:eastAsia="Hiragino Kaku Gothic Pro W6" w:cs="Segoe UI"/>
        </w:rPr>
        <w:t xml:space="preserve">prices </w:t>
      </w:r>
      <w:r w:rsidR="00A664D9">
        <w:rPr>
          <w:rFonts w:eastAsia="Hiragino Kaku Gothic Pro W6" w:cs="Segoe UI"/>
        </w:rPr>
        <w:t>and equit</w:t>
      </w:r>
      <w:r>
        <w:rPr>
          <w:rFonts w:eastAsia="Hiragino Kaku Gothic Pro W6" w:cs="Segoe UI"/>
        </w:rPr>
        <w:t>y valuations</w:t>
      </w:r>
      <w:r w:rsidR="00A664D9">
        <w:rPr>
          <w:rFonts w:eastAsia="Hiragino Kaku Gothic Pro W6" w:cs="Segoe UI"/>
        </w:rPr>
        <w:t xml:space="preserve"> that has no equal in the past. A whole generation of investors have barely known a correction since 2008 (even the pandemic induced correction in 2020 </w:t>
      </w:r>
      <w:r w:rsidR="000F6AB5">
        <w:rPr>
          <w:rFonts w:eastAsia="Hiragino Kaku Gothic Pro W6" w:cs="Segoe UI"/>
        </w:rPr>
        <w:t>was just</w:t>
      </w:r>
      <w:r w:rsidR="00A664D9">
        <w:rPr>
          <w:rFonts w:eastAsia="Hiragino Kaku Gothic Pro W6" w:cs="Segoe UI"/>
        </w:rPr>
        <w:t xml:space="preserve"> a blip). </w:t>
      </w:r>
    </w:p>
    <w:p w14:paraId="6F1071CC" w14:textId="51469C0B" w:rsidR="008D5309" w:rsidRDefault="00614F9D" w:rsidP="00A664D9">
      <w:pPr>
        <w:spacing w:before="120"/>
        <w:jc w:val="both"/>
        <w:rPr>
          <w:rFonts w:eastAsia="Hiragino Kaku Gothic Pro W6" w:cs="Segoe UI"/>
        </w:rPr>
      </w:pPr>
      <w:r>
        <w:rPr>
          <w:rFonts w:eastAsia="Hiragino Kaku Gothic Pro W6" w:cs="Segoe UI"/>
        </w:rPr>
        <w:t xml:space="preserve">We are </w:t>
      </w:r>
      <w:r w:rsidR="00D748DB">
        <w:rPr>
          <w:rFonts w:eastAsia="Hiragino Kaku Gothic Pro W6" w:cs="Segoe UI"/>
        </w:rPr>
        <w:t>poised to experience</w:t>
      </w:r>
      <w:r>
        <w:rPr>
          <w:rFonts w:eastAsia="Hiragino Kaku Gothic Pro W6" w:cs="Segoe UI"/>
        </w:rPr>
        <w:t xml:space="preserve"> </w:t>
      </w:r>
      <w:r w:rsidR="00D748DB">
        <w:rPr>
          <w:rFonts w:eastAsia="Hiragino Kaku Gothic Pro W6" w:cs="Segoe UI"/>
        </w:rPr>
        <w:t xml:space="preserve">an </w:t>
      </w:r>
      <w:r>
        <w:rPr>
          <w:rFonts w:eastAsia="Hiragino Kaku Gothic Pro W6" w:cs="Segoe UI"/>
        </w:rPr>
        <w:t xml:space="preserve">unwind, </w:t>
      </w:r>
      <w:r w:rsidR="00D748DB">
        <w:rPr>
          <w:rFonts w:eastAsia="Hiragino Kaku Gothic Pro W6" w:cs="Segoe UI"/>
        </w:rPr>
        <w:t>plus</w:t>
      </w:r>
      <w:r>
        <w:rPr>
          <w:rFonts w:eastAsia="Hiragino Kaku Gothic Pro W6" w:cs="Segoe UI"/>
        </w:rPr>
        <w:t xml:space="preserve"> rising interest rates and bond yields. </w:t>
      </w:r>
      <w:r w:rsidR="00D748DB">
        <w:rPr>
          <w:rFonts w:eastAsia="Hiragino Kaku Gothic Pro W6" w:cs="Segoe UI"/>
        </w:rPr>
        <w:t xml:space="preserve">Markets are pricing in </w:t>
      </w:r>
      <w:r>
        <w:rPr>
          <w:rFonts w:eastAsia="Hiragino Kaku Gothic Pro W6" w:cs="Segoe UI"/>
        </w:rPr>
        <w:t>two 50 basis point rises in the USA</w:t>
      </w:r>
      <w:r w:rsidR="00D748DB">
        <w:rPr>
          <w:rFonts w:eastAsia="Hiragino Kaku Gothic Pro W6" w:cs="Segoe UI"/>
        </w:rPr>
        <w:t xml:space="preserve"> this quarter, and further rises the next. I predict we will see</w:t>
      </w:r>
      <w:r>
        <w:rPr>
          <w:rFonts w:eastAsia="Hiragino Kaku Gothic Pro W6" w:cs="Segoe UI"/>
        </w:rPr>
        <w:t xml:space="preserve"> the first interest rate rise in Australia of the new cycle</w:t>
      </w:r>
      <w:r w:rsidR="00D748DB">
        <w:rPr>
          <w:rFonts w:eastAsia="Hiragino Kaku Gothic Pro W6" w:cs="Segoe UI"/>
        </w:rPr>
        <w:t xml:space="preserve"> this quarter, with more to come</w:t>
      </w:r>
      <w:r>
        <w:rPr>
          <w:rFonts w:eastAsia="Hiragino Kaku Gothic Pro W6" w:cs="Segoe UI"/>
        </w:rPr>
        <w:t xml:space="preserve">.  </w:t>
      </w:r>
    </w:p>
    <w:p w14:paraId="57E945E9" w14:textId="7BBE1374" w:rsidR="00D748DB" w:rsidRDefault="00D748DB" w:rsidP="00A664D9">
      <w:pPr>
        <w:spacing w:before="120"/>
        <w:jc w:val="both"/>
        <w:rPr>
          <w:rFonts w:eastAsia="Hiragino Kaku Gothic Pro W6" w:cs="Segoe UI"/>
        </w:rPr>
      </w:pPr>
      <w:r>
        <w:rPr>
          <w:rFonts w:eastAsia="Hiragino Kaku Gothic Pro W6" w:cs="Segoe UI"/>
        </w:rPr>
        <w:t xml:space="preserve">As bridge players will know, there are several “rules” that help play, one of which is the rule of 20. In bridge </w:t>
      </w:r>
      <w:r w:rsidR="000F6AB5">
        <w:rPr>
          <w:rFonts w:eastAsia="Hiragino Kaku Gothic Pro W6" w:cs="Segoe UI"/>
        </w:rPr>
        <w:t>the rule of 20 is a tool to help</w:t>
      </w:r>
      <w:r>
        <w:rPr>
          <w:rFonts w:eastAsia="Hiragino Kaku Gothic Pro W6" w:cs="Segoe UI"/>
        </w:rPr>
        <w:t xml:space="preserve"> decide whether to make an opening bid.</w:t>
      </w:r>
    </w:p>
    <w:p w14:paraId="010B9592" w14:textId="77777777" w:rsidR="00CC3A10" w:rsidRDefault="00D748DB" w:rsidP="00A664D9">
      <w:pPr>
        <w:spacing w:before="120"/>
        <w:jc w:val="both"/>
        <w:rPr>
          <w:rFonts w:eastAsia="Hiragino Kaku Gothic Pro W6" w:cs="Segoe UI"/>
        </w:rPr>
      </w:pPr>
      <w:r>
        <w:rPr>
          <w:rFonts w:eastAsia="Hiragino Kaku Gothic Pro W6" w:cs="Segoe UI"/>
        </w:rPr>
        <w:t xml:space="preserve">There is also a rule of 20 in </w:t>
      </w:r>
      <w:proofErr w:type="spellStart"/>
      <w:r>
        <w:rPr>
          <w:rFonts w:eastAsia="Hiragino Kaku Gothic Pro W6" w:cs="Segoe UI"/>
        </w:rPr>
        <w:t>stockmarkets</w:t>
      </w:r>
      <w:proofErr w:type="spellEnd"/>
      <w:r>
        <w:rPr>
          <w:rFonts w:eastAsia="Hiragino Kaku Gothic Pro W6" w:cs="Segoe UI"/>
        </w:rPr>
        <w:t xml:space="preserve">. </w:t>
      </w:r>
      <w:r w:rsidR="00F921D4">
        <w:rPr>
          <w:rFonts w:eastAsia="Hiragino Kaku Gothic Pro W6" w:cs="Segoe UI"/>
        </w:rPr>
        <w:t xml:space="preserve">It basically says that a fair value for the market P/E is 20 minus the rate of inflation. </w:t>
      </w:r>
      <w:proofErr w:type="gramStart"/>
      <w:r w:rsidR="00F921D4">
        <w:rPr>
          <w:rFonts w:eastAsia="Hiragino Kaku Gothic Pro W6" w:cs="Segoe UI"/>
        </w:rPr>
        <w:t>So</w:t>
      </w:r>
      <w:proofErr w:type="gramEnd"/>
      <w:r w:rsidR="00F921D4">
        <w:rPr>
          <w:rFonts w:eastAsia="Hiragino Kaku Gothic Pro W6" w:cs="Segoe UI"/>
        </w:rPr>
        <w:t xml:space="preserve"> if inflation is around 2%, a P/E of 18 can be justified. If its 8%, then the fair P/E is only 12, which implies a 33% fall in share prices without the </w:t>
      </w:r>
      <w:r w:rsidR="000F6AB5">
        <w:rPr>
          <w:rFonts w:eastAsia="Hiragino Kaku Gothic Pro W6" w:cs="Segoe UI"/>
        </w:rPr>
        <w:t>e</w:t>
      </w:r>
      <w:r w:rsidR="00F921D4">
        <w:rPr>
          <w:rFonts w:eastAsia="Hiragino Kaku Gothic Pro W6" w:cs="Segoe UI"/>
        </w:rPr>
        <w:t>arnings</w:t>
      </w:r>
      <w:r w:rsidR="000F6AB5">
        <w:rPr>
          <w:rFonts w:eastAsia="Hiragino Kaku Gothic Pro W6" w:cs="Segoe UI"/>
        </w:rPr>
        <w:t xml:space="preserve"> (“E”)</w:t>
      </w:r>
      <w:r w:rsidR="00F921D4">
        <w:rPr>
          <w:rFonts w:eastAsia="Hiragino Kaku Gothic Pro W6" w:cs="Segoe UI"/>
        </w:rPr>
        <w:t xml:space="preserve"> part declining. If the earnings part is declining due to deteriorating economic conditions, then falls can be much greater. </w:t>
      </w:r>
      <w:proofErr w:type="gramStart"/>
      <w:r w:rsidR="00F921D4">
        <w:rPr>
          <w:rFonts w:eastAsia="Hiragino Kaku Gothic Pro W6" w:cs="Segoe UI"/>
        </w:rPr>
        <w:t>Likewise</w:t>
      </w:r>
      <w:proofErr w:type="gramEnd"/>
      <w:r w:rsidR="00F921D4">
        <w:rPr>
          <w:rFonts w:eastAsia="Hiragino Kaku Gothic Pro W6" w:cs="Segoe UI"/>
        </w:rPr>
        <w:t xml:space="preserve"> the </w:t>
      </w:r>
      <w:r w:rsidR="00CC3A10">
        <w:rPr>
          <w:rFonts w:eastAsia="Hiragino Kaku Gothic Pro W6" w:cs="Segoe UI"/>
        </w:rPr>
        <w:t xml:space="preserve">higher the </w:t>
      </w:r>
      <w:r w:rsidR="00F921D4">
        <w:rPr>
          <w:rFonts w:eastAsia="Hiragino Kaku Gothic Pro W6" w:cs="Segoe UI"/>
        </w:rPr>
        <w:t>market P/E</w:t>
      </w:r>
      <w:r w:rsidR="00CC3A10">
        <w:rPr>
          <w:rFonts w:eastAsia="Hiragino Kaku Gothic Pro W6" w:cs="Segoe UI"/>
        </w:rPr>
        <w:t xml:space="preserve"> </w:t>
      </w:r>
      <w:r w:rsidR="00F921D4">
        <w:rPr>
          <w:rFonts w:eastAsia="Hiragino Kaku Gothic Pro W6" w:cs="Segoe UI"/>
        </w:rPr>
        <w:t>start</w:t>
      </w:r>
      <w:r w:rsidR="00CC3A10">
        <w:rPr>
          <w:rFonts w:eastAsia="Hiragino Kaku Gothic Pro W6" w:cs="Segoe UI"/>
        </w:rPr>
        <w:t>s</w:t>
      </w:r>
      <w:r w:rsidR="00F921D4">
        <w:rPr>
          <w:rFonts w:eastAsia="Hiragino Kaku Gothic Pro W6" w:cs="Segoe UI"/>
        </w:rPr>
        <w:t xml:space="preserve"> </w:t>
      </w:r>
      <w:r w:rsidR="00CC3A10">
        <w:rPr>
          <w:rFonts w:eastAsia="Hiragino Kaku Gothic Pro W6" w:cs="Segoe UI"/>
        </w:rPr>
        <w:t>from, the greater the falls</w:t>
      </w:r>
      <w:r w:rsidR="003D1DA1">
        <w:rPr>
          <w:rFonts w:eastAsia="Hiragino Kaku Gothic Pro W6" w:cs="Segoe UI"/>
        </w:rPr>
        <w:t xml:space="preserve">. </w:t>
      </w:r>
      <w:proofErr w:type="spellStart"/>
      <w:r w:rsidR="00CC3A10">
        <w:rPr>
          <w:rFonts w:eastAsia="Hiragino Kaku Gothic Pro W6" w:cs="Segoe UI"/>
        </w:rPr>
        <w:t xml:space="preserve">We’ve </w:t>
      </w:r>
      <w:proofErr w:type="spellEnd"/>
      <w:r w:rsidR="00CC3A10">
        <w:rPr>
          <w:rFonts w:eastAsia="Hiragino Kaku Gothic Pro W6" w:cs="Segoe UI"/>
        </w:rPr>
        <w:t>got accustomed to seeing stocks trading on 20-50 times earnings. That is going to end.</w:t>
      </w:r>
    </w:p>
    <w:p w14:paraId="76025C2B" w14:textId="70261BF6" w:rsidR="003D1DA1" w:rsidRDefault="00CC3A10" w:rsidP="00A664D9">
      <w:pPr>
        <w:spacing w:before="120"/>
        <w:jc w:val="both"/>
        <w:rPr>
          <w:rFonts w:eastAsia="Hiragino Kaku Gothic Pro W6" w:cs="Segoe UI"/>
        </w:rPr>
      </w:pPr>
      <w:r>
        <w:rPr>
          <w:rFonts w:eastAsia="Hiragino Kaku Gothic Pro W6" w:cs="Segoe UI"/>
          <w:noProof/>
        </w:rPr>
        <w:lastRenderedPageBreak/>
        <w:drawing>
          <wp:inline distT="0" distB="0" distL="0" distR="0" wp14:anchorId="31FE953B" wp14:editId="0AF18FCB">
            <wp:extent cx="438150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4381500" cy="2857500"/>
                    </a:xfrm>
                    <a:prstGeom prst="rect">
                      <a:avLst/>
                    </a:prstGeom>
                  </pic:spPr>
                </pic:pic>
              </a:graphicData>
            </a:graphic>
          </wp:inline>
        </w:drawing>
      </w:r>
    </w:p>
    <w:p w14:paraId="4761E5C3" w14:textId="5486AA3C" w:rsidR="00CC3A10" w:rsidRDefault="00476685" w:rsidP="00A664D9">
      <w:pPr>
        <w:spacing w:before="120"/>
        <w:jc w:val="both"/>
        <w:rPr>
          <w:rFonts w:eastAsia="Hiragino Kaku Gothic Pro W6" w:cs="Segoe UI"/>
        </w:rPr>
      </w:pPr>
      <w:r>
        <w:rPr>
          <w:rFonts w:eastAsia="Hiragino Kaku Gothic Pro W6" w:cs="Segoe UI"/>
        </w:rPr>
        <w:t>The Chart shows rising bond yields, so equity valuations are under pressure. The recent disconnect will end shortly.</w:t>
      </w:r>
    </w:p>
    <w:p w14:paraId="42ACE518" w14:textId="1A0B87B5" w:rsidR="00D748DB" w:rsidRDefault="00F921D4" w:rsidP="00A664D9">
      <w:pPr>
        <w:spacing w:before="120"/>
        <w:jc w:val="both"/>
        <w:rPr>
          <w:rFonts w:eastAsia="Hiragino Kaku Gothic Pro W6" w:cs="Segoe UI"/>
        </w:rPr>
      </w:pPr>
      <w:r>
        <w:rPr>
          <w:rFonts w:eastAsia="Hiragino Kaku Gothic Pro W6" w:cs="Segoe UI"/>
        </w:rPr>
        <w:t xml:space="preserve">That’s why the bear market of 1973/4 </w:t>
      </w:r>
      <w:r w:rsidR="003D1DA1">
        <w:rPr>
          <w:rFonts w:eastAsia="Hiragino Kaku Gothic Pro W6" w:cs="Segoe UI"/>
        </w:rPr>
        <w:t xml:space="preserve">was so savage. That’s why this coming bear market threatens to be very difficult too. </w:t>
      </w:r>
    </w:p>
    <w:p w14:paraId="4395B842" w14:textId="3C518258" w:rsidR="003D1DA1" w:rsidRDefault="003D1DA1" w:rsidP="00A664D9">
      <w:pPr>
        <w:spacing w:before="120"/>
        <w:jc w:val="both"/>
        <w:rPr>
          <w:rFonts w:eastAsia="Hiragino Kaku Gothic Pro W6" w:cs="Segoe UI"/>
        </w:rPr>
      </w:pPr>
      <w:proofErr w:type="gramStart"/>
      <w:r>
        <w:rPr>
          <w:rFonts w:eastAsia="Hiragino Kaku Gothic Pro W6" w:cs="Segoe UI"/>
        </w:rPr>
        <w:t>So</w:t>
      </w:r>
      <w:proofErr w:type="gramEnd"/>
      <w:r w:rsidR="00CC3A10">
        <w:rPr>
          <w:rFonts w:eastAsia="Hiragino Kaku Gothic Pro W6" w:cs="Segoe UI"/>
        </w:rPr>
        <w:t xml:space="preserve"> </w:t>
      </w:r>
      <w:r>
        <w:rPr>
          <w:rFonts w:eastAsia="Hiragino Kaku Gothic Pro W6" w:cs="Segoe UI"/>
        </w:rPr>
        <w:t xml:space="preserve">what is </w:t>
      </w:r>
      <w:r w:rsidR="00CC3A10">
        <w:rPr>
          <w:rFonts w:eastAsia="Hiragino Kaku Gothic Pro W6" w:cs="Segoe UI"/>
        </w:rPr>
        <w:t>my</w:t>
      </w:r>
      <w:r>
        <w:rPr>
          <w:rFonts w:eastAsia="Hiragino Kaku Gothic Pro W6" w:cs="Segoe UI"/>
        </w:rPr>
        <w:t xml:space="preserve"> strategy? Well, the trick is to survive for the coming year so that when the market approaches a bottom, we </w:t>
      </w:r>
      <w:r w:rsidR="00CC3A10">
        <w:rPr>
          <w:rFonts w:eastAsia="Hiragino Kaku Gothic Pro W6" w:cs="Segoe UI"/>
        </w:rPr>
        <w:t xml:space="preserve">all </w:t>
      </w:r>
      <w:r>
        <w:rPr>
          <w:rFonts w:eastAsia="Hiragino Kaku Gothic Pro W6" w:cs="Segoe UI"/>
        </w:rPr>
        <w:t xml:space="preserve">have plenty of </w:t>
      </w:r>
      <w:r w:rsidR="0019160E">
        <w:rPr>
          <w:rFonts w:eastAsia="Hiragino Kaku Gothic Pro W6" w:cs="Segoe UI"/>
        </w:rPr>
        <w:t xml:space="preserve">cash </w:t>
      </w:r>
      <w:r>
        <w:rPr>
          <w:rFonts w:eastAsia="Hiragino Kaku Gothic Pro W6" w:cs="Segoe UI"/>
        </w:rPr>
        <w:t xml:space="preserve">resources to enjoy picking up bargains. Bear markets invariably overshoot, leading to the other extreme of some ridiculously low valuations. As a consequence, the portfolio will be </w:t>
      </w:r>
      <w:r w:rsidR="0019160E">
        <w:rPr>
          <w:rFonts w:eastAsia="Hiragino Kaku Gothic Pro W6" w:cs="Segoe UI"/>
        </w:rPr>
        <w:t xml:space="preserve">taking profits on its bank positions and </w:t>
      </w:r>
      <w:r>
        <w:rPr>
          <w:rFonts w:eastAsia="Hiragino Kaku Gothic Pro W6" w:cs="Segoe UI"/>
        </w:rPr>
        <w:t xml:space="preserve">moving to </w:t>
      </w:r>
      <w:r w:rsidR="00CC3A10">
        <w:rPr>
          <w:rFonts w:eastAsia="Hiragino Kaku Gothic Pro W6" w:cs="Segoe UI"/>
        </w:rPr>
        <w:t>40-</w:t>
      </w:r>
      <w:r>
        <w:rPr>
          <w:rFonts w:eastAsia="Hiragino Kaku Gothic Pro W6" w:cs="Segoe UI"/>
        </w:rPr>
        <w:t xml:space="preserve">60% average liquidity </w:t>
      </w:r>
      <w:r w:rsidR="0019160E">
        <w:rPr>
          <w:rFonts w:eastAsia="Hiragino Kaku Gothic Pro W6" w:cs="Segoe UI"/>
        </w:rPr>
        <w:t>shortly</w:t>
      </w:r>
      <w:r>
        <w:rPr>
          <w:rFonts w:eastAsia="Hiragino Kaku Gothic Pro W6" w:cs="Segoe UI"/>
        </w:rPr>
        <w:t>, and sitting out the rest of the year except for special situations</w:t>
      </w:r>
      <w:r w:rsidR="000F6AB5">
        <w:rPr>
          <w:rFonts w:eastAsia="Hiragino Kaku Gothic Pro W6" w:cs="Segoe UI"/>
        </w:rPr>
        <w:t xml:space="preserve"> and hedges</w:t>
      </w:r>
      <w:r>
        <w:rPr>
          <w:rFonts w:eastAsia="Hiragino Kaku Gothic Pro W6" w:cs="Segoe UI"/>
        </w:rPr>
        <w:t xml:space="preserve">. </w:t>
      </w:r>
      <w:r w:rsidR="0019160E">
        <w:rPr>
          <w:rFonts w:eastAsia="Hiragino Kaku Gothic Pro W6" w:cs="Segoe UI"/>
        </w:rPr>
        <w:t xml:space="preserve">I do not advocate clients withdrawing from the portfolio in the meantime, as the bottom, when it comes, is typically followed by 50%+ gains within the first 3 months. At that time the media will be full of doom and gloom and warning investors off. That’s the </w:t>
      </w:r>
      <w:r w:rsidR="00CC3A10">
        <w:rPr>
          <w:rFonts w:eastAsia="Hiragino Kaku Gothic Pro W6" w:cs="Segoe UI"/>
        </w:rPr>
        <w:t xml:space="preserve">exciting </w:t>
      </w:r>
      <w:r w:rsidR="0019160E">
        <w:rPr>
          <w:rFonts w:eastAsia="Hiragino Kaku Gothic Pro W6" w:cs="Segoe UI"/>
        </w:rPr>
        <w:t xml:space="preserve">moment I am </w:t>
      </w:r>
      <w:r w:rsidR="00CC3A10">
        <w:rPr>
          <w:rFonts w:eastAsia="Hiragino Kaku Gothic Pro W6" w:cs="Segoe UI"/>
        </w:rPr>
        <w:t>preparing</w:t>
      </w:r>
      <w:r w:rsidR="0019160E">
        <w:rPr>
          <w:rFonts w:eastAsia="Hiragino Kaku Gothic Pro W6" w:cs="Segoe UI"/>
        </w:rPr>
        <w:t xml:space="preserve"> for.</w:t>
      </w:r>
    </w:p>
    <w:p w14:paraId="4E8507E2" w14:textId="608C3C1F" w:rsidR="000F6AB5" w:rsidRDefault="000F6AB5" w:rsidP="00A664D9">
      <w:pPr>
        <w:spacing w:before="120"/>
        <w:jc w:val="both"/>
        <w:rPr>
          <w:rFonts w:eastAsia="Hiragino Kaku Gothic Pro W6" w:cs="Segoe UI"/>
        </w:rPr>
      </w:pPr>
    </w:p>
    <w:p w14:paraId="7EEB54FD" w14:textId="4F61B183" w:rsidR="000F6AB5" w:rsidRDefault="000F6AB5" w:rsidP="00A664D9">
      <w:pPr>
        <w:spacing w:before="120"/>
        <w:jc w:val="both"/>
        <w:rPr>
          <w:rFonts w:eastAsia="Hiragino Kaku Gothic Pro W6" w:cs="Segoe UI"/>
        </w:rPr>
      </w:pPr>
      <w:r>
        <w:rPr>
          <w:rFonts w:eastAsia="Hiragino Kaku Gothic Pro W6" w:cs="Segoe UI"/>
        </w:rPr>
        <w:t>John Aldersley</w:t>
      </w:r>
    </w:p>
    <w:p w14:paraId="71E3E14D" w14:textId="74F22396" w:rsidR="000F6AB5" w:rsidRDefault="000F6AB5" w:rsidP="00A664D9">
      <w:pPr>
        <w:spacing w:before="120"/>
        <w:jc w:val="both"/>
        <w:rPr>
          <w:rFonts w:eastAsia="Hiragino Kaku Gothic Pro W6" w:cs="Segoe UI"/>
        </w:rPr>
      </w:pPr>
      <w:r>
        <w:rPr>
          <w:rFonts w:eastAsia="Hiragino Kaku Gothic Pro W6" w:cs="Segoe UI"/>
        </w:rPr>
        <w:t>April 2022</w:t>
      </w:r>
    </w:p>
    <w:p w14:paraId="13FABF56" w14:textId="77777777" w:rsidR="00190C9B" w:rsidRDefault="00190C9B" w:rsidP="00A664D9">
      <w:pPr>
        <w:spacing w:before="120"/>
        <w:jc w:val="both"/>
        <w:rPr>
          <w:rFonts w:eastAsia="Hiragino Kaku Gothic Pro W6" w:cs="Segoe UI"/>
        </w:rPr>
      </w:pPr>
    </w:p>
    <w:p w14:paraId="5511C213" w14:textId="31D95D31" w:rsidR="00190C9B" w:rsidRPr="00A664D9" w:rsidRDefault="00190C9B" w:rsidP="00A664D9">
      <w:pPr>
        <w:spacing w:before="120"/>
        <w:jc w:val="both"/>
        <w:rPr>
          <w:rFonts w:eastAsia="Hiragino Kaku Gothic Pro W6" w:cs="Segoe UI"/>
        </w:rPr>
        <w:sectPr w:rsidR="00190C9B" w:rsidRPr="00A664D9" w:rsidSect="00334718">
          <w:type w:val="continuous"/>
          <w:pgSz w:w="11900" w:h="16840"/>
          <w:pgMar w:top="1440" w:right="1410" w:bottom="1440" w:left="1276" w:header="708" w:footer="708" w:gutter="0"/>
          <w:cols w:space="708"/>
        </w:sectPr>
      </w:pPr>
      <w:r w:rsidRPr="00190C9B">
        <w:rPr>
          <w:rFonts w:eastAsia="Hiragino Kaku Gothic Pro W6" w:cs="Segoe UI"/>
        </w:rPr>
        <w:lastRenderedPageBreak/>
        <w:drawing>
          <wp:inline distT="0" distB="0" distL="0" distR="0" wp14:anchorId="7AD8FCF6" wp14:editId="716D533D">
            <wp:extent cx="3568700" cy="232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8700" cy="2324100"/>
                    </a:xfrm>
                    <a:prstGeom prst="rect">
                      <a:avLst/>
                    </a:prstGeom>
                  </pic:spPr>
                </pic:pic>
              </a:graphicData>
            </a:graphic>
          </wp:inline>
        </w:drawing>
      </w:r>
    </w:p>
    <w:p w14:paraId="254F39A2" w14:textId="77777777" w:rsidR="00FA00EF" w:rsidRPr="000578E2" w:rsidRDefault="00FA00EF" w:rsidP="004E1B71">
      <w:pPr>
        <w:pStyle w:val="Heading2"/>
        <w:rPr>
          <w:sz w:val="44"/>
        </w:rPr>
      </w:pPr>
      <w:r w:rsidRPr="000578E2">
        <w:rPr>
          <w:sz w:val="44"/>
        </w:rPr>
        <w:lastRenderedPageBreak/>
        <w:t>IMPORTANT INFORMATION</w:t>
      </w:r>
    </w:p>
    <w:p w14:paraId="6B62B073" w14:textId="77777777" w:rsidR="00FA00EF" w:rsidRPr="000578E2" w:rsidRDefault="00FA00EF" w:rsidP="007D418F"/>
    <w:p w14:paraId="4418193F" w14:textId="77777777" w:rsidR="00FA00EF" w:rsidRPr="00BF13DF" w:rsidRDefault="00FA00EF" w:rsidP="000517C1">
      <w:pPr>
        <w:autoSpaceDE w:val="0"/>
        <w:autoSpaceDN w:val="0"/>
        <w:adjustRightInd w:val="0"/>
        <w:spacing w:after="0" w:line="240" w:lineRule="auto"/>
        <w:rPr>
          <w:rFonts w:cs="Arial Narrow"/>
          <w:b/>
          <w:bCs/>
          <w:sz w:val="20"/>
          <w:szCs w:val="20"/>
        </w:rPr>
      </w:pPr>
    </w:p>
    <w:p w14:paraId="6B8D6E42" w14:textId="77777777" w:rsidR="00FA00EF" w:rsidRPr="00BF13DF" w:rsidRDefault="00FA00EF" w:rsidP="000517C1">
      <w:pPr>
        <w:widowControl w:val="0"/>
        <w:autoSpaceDE w:val="0"/>
        <w:autoSpaceDN w:val="0"/>
        <w:adjustRightInd w:val="0"/>
        <w:snapToGrid w:val="0"/>
        <w:spacing w:after="120" w:line="240" w:lineRule="auto"/>
        <w:jc w:val="both"/>
        <w:rPr>
          <w:rFonts w:cs="GillSans Light"/>
          <w:color w:val="000000"/>
          <w:sz w:val="20"/>
          <w:szCs w:val="20"/>
        </w:rPr>
        <w:sectPr w:rsidR="00FA00EF" w:rsidRPr="00BF13DF" w:rsidSect="009A2283">
          <w:pgSz w:w="11900" w:h="16840"/>
          <w:pgMar w:top="1440" w:right="1410" w:bottom="1440" w:left="1276" w:header="708" w:footer="708" w:gutter="0"/>
          <w:cols w:space="708"/>
        </w:sectPr>
      </w:pPr>
    </w:p>
    <w:p w14:paraId="2BCBDB28" w14:textId="77777777" w:rsidR="00BF13DF" w:rsidRPr="00BF13DF" w:rsidRDefault="00BF13DF" w:rsidP="00BF13DF">
      <w:pPr>
        <w:rPr>
          <w:sz w:val="20"/>
          <w:szCs w:val="20"/>
        </w:rPr>
      </w:pPr>
      <w:r w:rsidRPr="00BF13DF">
        <w:rPr>
          <w:sz w:val="20"/>
          <w:szCs w:val="20"/>
        </w:rPr>
        <w:t>Prepared by HUB24 Custodial Services Ltd (ABN 94 073 633 664, AFS licence No. 239 122) ("the Operator” of HUB24 Invest (the Service)) and (("the Promo</w:t>
      </w:r>
      <w:r w:rsidR="00366F8F">
        <w:rPr>
          <w:sz w:val="20"/>
          <w:szCs w:val="20"/>
        </w:rPr>
        <w:t>ter” of HUB24 Super (the Fund))</w:t>
      </w:r>
      <w:r w:rsidRPr="00BF13DF">
        <w:rPr>
          <w:sz w:val="20"/>
          <w:szCs w:val="20"/>
        </w:rPr>
        <w:t>". The information contained in this document is not intended to be a definitive statement on the subject matter nor an endorsement that this Portfolio is appropriate for you and should not be relied upon in making a decision to invest in this Service</w:t>
      </w:r>
      <w:r w:rsidR="00366F8F">
        <w:rPr>
          <w:sz w:val="20"/>
          <w:szCs w:val="20"/>
        </w:rPr>
        <w:t xml:space="preserve"> or Fund</w:t>
      </w:r>
      <w:r w:rsidRPr="00BF13DF">
        <w:rPr>
          <w:sz w:val="20"/>
          <w:szCs w:val="20"/>
        </w:rPr>
        <w:t xml:space="preserve">. </w:t>
      </w:r>
    </w:p>
    <w:p w14:paraId="46A346B4" w14:textId="77777777" w:rsidR="008D5309" w:rsidRPr="00BF13DF" w:rsidRDefault="008D5309" w:rsidP="008D5309">
      <w:pPr>
        <w:widowControl w:val="0"/>
        <w:autoSpaceDE w:val="0"/>
        <w:autoSpaceDN w:val="0"/>
        <w:adjustRightInd w:val="0"/>
        <w:snapToGrid w:val="0"/>
        <w:spacing w:after="0" w:line="240" w:lineRule="auto"/>
        <w:rPr>
          <w:sz w:val="20"/>
          <w:szCs w:val="20"/>
        </w:rPr>
      </w:pPr>
    </w:p>
    <w:p w14:paraId="00DC3193" w14:textId="77777777" w:rsidR="00D16B2C" w:rsidRPr="000578E2" w:rsidRDefault="00D16B2C" w:rsidP="00D16B2C">
      <w:pPr>
        <w:spacing w:after="0"/>
        <w:rPr>
          <w:sz w:val="20"/>
          <w:szCs w:val="20"/>
          <w:lang w:val="en-US"/>
        </w:rPr>
      </w:pPr>
      <w:r w:rsidRPr="000578E2">
        <w:rPr>
          <w:sz w:val="20"/>
          <w:szCs w:val="20"/>
          <w:lang w:val="en-US"/>
        </w:rPr>
        <w:t xml:space="preserve">Financial commentary contained within this report is provided by </w:t>
      </w:r>
      <w:r>
        <w:rPr>
          <w:sz w:val="20"/>
          <w:szCs w:val="20"/>
          <w:lang w:val="en-US"/>
        </w:rPr>
        <w:t>Aldersley Capital Pty Ltd</w:t>
      </w:r>
      <w:r w:rsidR="00073D80" w:rsidRPr="000578E2">
        <w:rPr>
          <w:sz w:val="20"/>
          <w:szCs w:val="20"/>
          <w:lang w:val="en-US"/>
        </w:rPr>
        <w:t xml:space="preserve"> (</w:t>
      </w:r>
      <w:r>
        <w:rPr>
          <w:sz w:val="20"/>
          <w:szCs w:val="20"/>
          <w:lang w:val="en-US"/>
        </w:rPr>
        <w:t xml:space="preserve">ABN 14 002 972 901) a corporate </w:t>
      </w:r>
      <w:proofErr w:type="spellStart"/>
      <w:r>
        <w:rPr>
          <w:sz w:val="20"/>
          <w:szCs w:val="20"/>
          <w:lang w:val="en-US"/>
        </w:rPr>
        <w:t>authorised</w:t>
      </w:r>
      <w:proofErr w:type="spellEnd"/>
      <w:r>
        <w:rPr>
          <w:sz w:val="20"/>
          <w:szCs w:val="20"/>
          <w:lang w:val="en-US"/>
        </w:rPr>
        <w:t xml:space="preserve"> representative (No. 420193) of </w:t>
      </w:r>
      <w:proofErr w:type="spellStart"/>
      <w:r>
        <w:rPr>
          <w:sz w:val="20"/>
          <w:szCs w:val="20"/>
          <w:lang w:val="en-US"/>
        </w:rPr>
        <w:t>Andika</w:t>
      </w:r>
      <w:proofErr w:type="spellEnd"/>
      <w:r>
        <w:rPr>
          <w:sz w:val="20"/>
          <w:szCs w:val="20"/>
          <w:lang w:val="en-US"/>
        </w:rPr>
        <w:t xml:space="preserve"> Pty Ltd (ABN 41 117 403 326 and AFSL 297069</w:t>
      </w:r>
      <w:r w:rsidR="00073D80" w:rsidRPr="000578E2">
        <w:rPr>
          <w:sz w:val="20"/>
          <w:szCs w:val="20"/>
          <w:lang w:val="en-US"/>
        </w:rPr>
        <w:t>)</w:t>
      </w:r>
      <w:r w:rsidRPr="000578E2">
        <w:rPr>
          <w:sz w:val="20"/>
          <w:szCs w:val="20"/>
          <w:lang w:val="en-US"/>
        </w:rPr>
        <w:t>, who is the Portfolio Manager of this Portfolio.</w:t>
      </w:r>
    </w:p>
    <w:p w14:paraId="1A668123" w14:textId="77777777" w:rsidR="008D5309" w:rsidRPr="000578E2" w:rsidRDefault="008D5309" w:rsidP="008D5309">
      <w:pPr>
        <w:widowControl w:val="0"/>
        <w:autoSpaceDE w:val="0"/>
        <w:autoSpaceDN w:val="0"/>
        <w:adjustRightInd w:val="0"/>
        <w:snapToGrid w:val="0"/>
        <w:spacing w:after="0" w:line="240" w:lineRule="auto"/>
        <w:rPr>
          <w:sz w:val="20"/>
          <w:szCs w:val="20"/>
        </w:rPr>
      </w:pPr>
    </w:p>
    <w:p w14:paraId="6974E00C" w14:textId="77777777" w:rsidR="00BF13DF" w:rsidRPr="00BF13DF" w:rsidRDefault="00BF13DF" w:rsidP="00BF13DF">
      <w:pPr>
        <w:rPr>
          <w:rFonts w:cstheme="minorBidi"/>
          <w:sz w:val="20"/>
          <w:szCs w:val="20"/>
        </w:rPr>
      </w:pPr>
      <w:r w:rsidRPr="00BF13DF">
        <w:rPr>
          <w:sz w:val="20"/>
          <w:szCs w:val="20"/>
        </w:rPr>
        <w:t>The information in this report is general information only and does not take into account your individual objectives, financial situation, needs or circumstances. No representations or warranties express or implied,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neither HUB24 or its directors, employees or agents accept any liability for any loss arising in relation to this report</w:t>
      </w:r>
      <w:r w:rsidRPr="00BF13DF">
        <w:rPr>
          <w:rFonts w:cstheme="minorBidi"/>
          <w:sz w:val="20"/>
          <w:szCs w:val="20"/>
        </w:rPr>
        <w:t xml:space="preserve">. </w:t>
      </w:r>
    </w:p>
    <w:p w14:paraId="43C42AE0" w14:textId="77777777" w:rsidR="00B04DA9" w:rsidRDefault="00B04DA9" w:rsidP="00245887">
      <w:pPr>
        <w:widowControl w:val="0"/>
        <w:autoSpaceDE w:val="0"/>
        <w:autoSpaceDN w:val="0"/>
        <w:adjustRightInd w:val="0"/>
        <w:snapToGrid w:val="0"/>
        <w:spacing w:after="0" w:line="240" w:lineRule="auto"/>
        <w:rPr>
          <w:sz w:val="20"/>
          <w:szCs w:val="20"/>
        </w:rPr>
      </w:pPr>
    </w:p>
    <w:p w14:paraId="57ADB4EE" w14:textId="77777777" w:rsidR="00BF13DF" w:rsidRPr="00BF13DF" w:rsidRDefault="00BF13DF" w:rsidP="00BF13DF">
      <w:pPr>
        <w:rPr>
          <w:sz w:val="20"/>
          <w:szCs w:val="20"/>
        </w:rPr>
      </w:pPr>
      <w:r w:rsidRPr="00BF13DF">
        <w:rPr>
          <w:sz w:val="20"/>
          <w:szCs w:val="20"/>
        </w:rPr>
        <w:t xml:space="preserve">The suitability of the Service or Fund to your needs and the suitability of a particular Investment Choice depends on your individual circumstances and objectives and should be discussed with your Adviser. Potential investors must read the FSG and IDPS Guide and/or Super PDS along with any accompanying materials. </w:t>
      </w:r>
    </w:p>
    <w:p w14:paraId="3E02FB55" w14:textId="77777777" w:rsidR="00245887" w:rsidRPr="000578E2" w:rsidRDefault="00245887" w:rsidP="00245887">
      <w:pPr>
        <w:widowControl w:val="0"/>
        <w:autoSpaceDE w:val="0"/>
        <w:autoSpaceDN w:val="0"/>
        <w:adjustRightInd w:val="0"/>
        <w:snapToGrid w:val="0"/>
        <w:spacing w:after="0" w:line="240" w:lineRule="auto"/>
        <w:rPr>
          <w:sz w:val="20"/>
          <w:szCs w:val="20"/>
        </w:rPr>
      </w:pPr>
    </w:p>
    <w:p w14:paraId="1370C2CC" w14:textId="77777777" w:rsidR="00BF13DF" w:rsidRPr="00BF13DF" w:rsidRDefault="00BF13DF" w:rsidP="00BF13DF">
      <w:pPr>
        <w:rPr>
          <w:sz w:val="20"/>
          <w:szCs w:val="20"/>
        </w:rPr>
      </w:pPr>
      <w:r w:rsidRPr="00BF13DF">
        <w:rPr>
          <w:sz w:val="20"/>
          <w:szCs w:val="20"/>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14:paraId="67EDDA8F" w14:textId="77777777" w:rsidR="00245887" w:rsidRPr="000578E2" w:rsidRDefault="00245887" w:rsidP="00245887">
      <w:pPr>
        <w:widowControl w:val="0"/>
        <w:autoSpaceDE w:val="0"/>
        <w:autoSpaceDN w:val="0"/>
        <w:adjustRightInd w:val="0"/>
        <w:snapToGrid w:val="0"/>
        <w:spacing w:after="0" w:line="240" w:lineRule="auto"/>
        <w:rPr>
          <w:sz w:val="20"/>
          <w:szCs w:val="20"/>
        </w:rPr>
      </w:pPr>
    </w:p>
    <w:p w14:paraId="2AE6809C" w14:textId="77777777" w:rsidR="00BF13DF" w:rsidRPr="00BF13DF" w:rsidRDefault="00BF13DF" w:rsidP="00BF13DF">
      <w:pPr>
        <w:rPr>
          <w:sz w:val="20"/>
          <w:szCs w:val="20"/>
        </w:rPr>
      </w:pPr>
      <w:r w:rsidRPr="00BF13DF">
        <w:rPr>
          <w:sz w:val="20"/>
          <w:szCs w:val="20"/>
        </w:rPr>
        <w:t>Past performance of financial products is not a reliable indicator of future performa</w:t>
      </w:r>
      <w:r w:rsidR="00366F8F">
        <w:rPr>
          <w:sz w:val="20"/>
          <w:szCs w:val="20"/>
        </w:rPr>
        <w:t xml:space="preserve">nce.  HUB24 and the Trustee do not assure </w:t>
      </w:r>
      <w:r w:rsidRPr="00BF13DF">
        <w:rPr>
          <w:sz w:val="20"/>
          <w:szCs w:val="20"/>
        </w:rPr>
        <w:t xml:space="preserve">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14:paraId="67E0A049" w14:textId="77777777" w:rsidR="00245887" w:rsidRPr="000578E2" w:rsidRDefault="00245887" w:rsidP="00245887">
      <w:pPr>
        <w:widowControl w:val="0"/>
        <w:autoSpaceDE w:val="0"/>
        <w:autoSpaceDN w:val="0"/>
        <w:adjustRightInd w:val="0"/>
        <w:snapToGrid w:val="0"/>
        <w:spacing w:after="0" w:line="240" w:lineRule="auto"/>
        <w:rPr>
          <w:sz w:val="20"/>
          <w:szCs w:val="20"/>
        </w:rPr>
      </w:pPr>
    </w:p>
    <w:p w14:paraId="2F71F287" w14:textId="77777777" w:rsidR="00BF13DF" w:rsidRPr="00BF13DF" w:rsidRDefault="00BF13DF" w:rsidP="00BF13DF">
      <w:pPr>
        <w:rPr>
          <w:sz w:val="20"/>
          <w:szCs w:val="20"/>
        </w:rPr>
      </w:pPr>
      <w:r w:rsidRPr="00BF13DF">
        <w:rPr>
          <w:sz w:val="20"/>
          <w:szCs w:val="20"/>
        </w:rPr>
        <w:t>HUB24, its associates and their respective directors and other staff each declare that they may, from time to time, hold interests in Securities that ar</w:t>
      </w:r>
      <w:r w:rsidR="00366F8F">
        <w:rPr>
          <w:sz w:val="20"/>
          <w:szCs w:val="20"/>
        </w:rPr>
        <w:t xml:space="preserve">e contained in this Service </w:t>
      </w:r>
      <w:r w:rsidRPr="00BF13DF">
        <w:rPr>
          <w:sz w:val="20"/>
          <w:szCs w:val="20"/>
        </w:rPr>
        <w:t>or Fund.</w:t>
      </w:r>
    </w:p>
    <w:p w14:paraId="4171EEFF" w14:textId="77777777" w:rsidR="008D5309" w:rsidRPr="008D5309" w:rsidRDefault="008D5309" w:rsidP="008D5309">
      <w:pPr>
        <w:widowControl w:val="0"/>
        <w:autoSpaceDE w:val="0"/>
        <w:autoSpaceDN w:val="0"/>
        <w:adjustRightInd w:val="0"/>
        <w:snapToGrid w:val="0"/>
        <w:spacing w:after="0" w:line="240" w:lineRule="auto"/>
        <w:rPr>
          <w:sz w:val="20"/>
          <w:szCs w:val="20"/>
        </w:rPr>
      </w:pPr>
    </w:p>
    <w:p w14:paraId="4AEA9131" w14:textId="77777777" w:rsidR="008D5309" w:rsidRPr="004E1B71" w:rsidRDefault="008D5309" w:rsidP="000517C1">
      <w:pPr>
        <w:widowControl w:val="0"/>
        <w:autoSpaceDE w:val="0"/>
        <w:autoSpaceDN w:val="0"/>
        <w:adjustRightInd w:val="0"/>
        <w:snapToGrid w:val="0"/>
        <w:spacing w:after="0" w:line="240" w:lineRule="auto"/>
        <w:rPr>
          <w:rFonts w:cs="GillSans Light"/>
          <w:sz w:val="20"/>
          <w:szCs w:val="18"/>
        </w:rPr>
      </w:pPr>
    </w:p>
    <w:p w14:paraId="23D0D580" w14:textId="77777777" w:rsidR="00FA00EF" w:rsidRDefault="00FA00EF" w:rsidP="00EB437E">
      <w:pPr>
        <w:sectPr w:rsidR="00FA00EF" w:rsidSect="009A2283">
          <w:type w:val="continuous"/>
          <w:pgSz w:w="11900" w:h="16840"/>
          <w:pgMar w:top="1440" w:right="1410" w:bottom="1440" w:left="1276" w:header="708" w:footer="708" w:gutter="0"/>
          <w:cols w:num="2" w:space="708"/>
        </w:sectPr>
      </w:pPr>
    </w:p>
    <w:p w14:paraId="1D9B5B08" w14:textId="77777777" w:rsidR="00FA00EF" w:rsidRPr="00EB437E" w:rsidRDefault="00FA00EF" w:rsidP="00EB437E"/>
    <w:sectPr w:rsidR="00FA00EF" w:rsidRPr="00EB437E" w:rsidSect="009A2283">
      <w:type w:val="continuous"/>
      <w:pgSz w:w="11900" w:h="16840"/>
      <w:pgMar w:top="1440" w:right="1410"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8B" w14:textId="77777777" w:rsidR="00744C0F" w:rsidRDefault="00744C0F">
      <w:pPr>
        <w:spacing w:after="0" w:line="240" w:lineRule="auto"/>
      </w:pPr>
      <w:r>
        <w:separator/>
      </w:r>
    </w:p>
  </w:endnote>
  <w:endnote w:type="continuationSeparator" w:id="0">
    <w:p w14:paraId="38D35F86" w14:textId="77777777" w:rsidR="00744C0F" w:rsidRDefault="0074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iragino Kaku Gothic Pro W6">
    <w:panose1 w:val="020B06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GillSans Light">
    <w:altName w:val="GillSans Light"/>
    <w:panose1 w:val="020B030202010402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1EC" w14:textId="77777777"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048B1" w14:textId="77777777" w:rsidR="00CF40EA" w:rsidRDefault="00CF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AB5B" w14:textId="77777777"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73E">
      <w:rPr>
        <w:rStyle w:val="PageNumber"/>
        <w:noProof/>
      </w:rPr>
      <w:t>1</w:t>
    </w:r>
    <w:r>
      <w:rPr>
        <w:rStyle w:val="PageNumber"/>
      </w:rPr>
      <w:fldChar w:fldCharType="end"/>
    </w:r>
  </w:p>
  <w:p w14:paraId="7C12857E" w14:textId="77777777" w:rsidR="00CF40EA" w:rsidRDefault="00CF40EA" w:rsidP="007A29C1">
    <w:pPr>
      <w:pStyle w:val="Footer"/>
      <w:jc w:val="center"/>
    </w:pPr>
  </w:p>
  <w:p w14:paraId="6D981EE4" w14:textId="77777777" w:rsidR="00CF40EA" w:rsidRDefault="00CF4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50FE" w14:textId="77777777" w:rsidR="00744C0F" w:rsidRDefault="00744C0F">
      <w:pPr>
        <w:spacing w:after="0" w:line="240" w:lineRule="auto"/>
      </w:pPr>
      <w:r>
        <w:separator/>
      </w:r>
    </w:p>
  </w:footnote>
  <w:footnote w:type="continuationSeparator" w:id="0">
    <w:p w14:paraId="512A46D0" w14:textId="77777777" w:rsidR="00744C0F" w:rsidRDefault="00744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3005326">
    <w:abstractNumId w:val="18"/>
  </w:num>
  <w:num w:numId="2" w16cid:durableId="1940330837">
    <w:abstractNumId w:val="15"/>
  </w:num>
  <w:num w:numId="3" w16cid:durableId="1978489371">
    <w:abstractNumId w:val="17"/>
  </w:num>
  <w:num w:numId="4" w16cid:durableId="1171947014">
    <w:abstractNumId w:val="14"/>
  </w:num>
  <w:num w:numId="5" w16cid:durableId="1528563384">
    <w:abstractNumId w:val="10"/>
  </w:num>
  <w:num w:numId="6" w16cid:durableId="1034423631">
    <w:abstractNumId w:val="8"/>
  </w:num>
  <w:num w:numId="7" w16cid:durableId="549804554">
    <w:abstractNumId w:val="7"/>
  </w:num>
  <w:num w:numId="8" w16cid:durableId="423694291">
    <w:abstractNumId w:val="6"/>
  </w:num>
  <w:num w:numId="9" w16cid:durableId="1858932802">
    <w:abstractNumId w:val="5"/>
  </w:num>
  <w:num w:numId="10" w16cid:durableId="1623464133">
    <w:abstractNumId w:val="9"/>
  </w:num>
  <w:num w:numId="11" w16cid:durableId="529143654">
    <w:abstractNumId w:val="4"/>
  </w:num>
  <w:num w:numId="12" w16cid:durableId="547648394">
    <w:abstractNumId w:val="3"/>
  </w:num>
  <w:num w:numId="13" w16cid:durableId="1850632432">
    <w:abstractNumId w:val="2"/>
  </w:num>
  <w:num w:numId="14" w16cid:durableId="1628969572">
    <w:abstractNumId w:val="1"/>
  </w:num>
  <w:num w:numId="15" w16cid:durableId="99565503">
    <w:abstractNumId w:val="0"/>
  </w:num>
  <w:num w:numId="16" w16cid:durableId="453864080">
    <w:abstractNumId w:val="12"/>
  </w:num>
  <w:num w:numId="17" w16cid:durableId="1707099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6304246">
    <w:abstractNumId w:val="16"/>
  </w:num>
  <w:num w:numId="19" w16cid:durableId="1791052501">
    <w:abstractNumId w:val="13"/>
  </w:num>
  <w:num w:numId="20" w16cid:durableId="11200350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WAFVersion" w:val="5.0"/>
  </w:docVars>
  <w:rsids>
    <w:rsidRoot w:val="002901A5"/>
    <w:rsid w:val="00001B40"/>
    <w:rsid w:val="00001ED0"/>
    <w:rsid w:val="000025D7"/>
    <w:rsid w:val="0000299E"/>
    <w:rsid w:val="0001455F"/>
    <w:rsid w:val="000220ED"/>
    <w:rsid w:val="0002226B"/>
    <w:rsid w:val="00025F53"/>
    <w:rsid w:val="000319BE"/>
    <w:rsid w:val="000507A6"/>
    <w:rsid w:val="000517C1"/>
    <w:rsid w:val="0005562F"/>
    <w:rsid w:val="000578E2"/>
    <w:rsid w:val="00061828"/>
    <w:rsid w:val="000637DC"/>
    <w:rsid w:val="00073D80"/>
    <w:rsid w:val="00077DB3"/>
    <w:rsid w:val="00090CAA"/>
    <w:rsid w:val="000939CB"/>
    <w:rsid w:val="000A2C55"/>
    <w:rsid w:val="000A6975"/>
    <w:rsid w:val="000B7A46"/>
    <w:rsid w:val="000C667C"/>
    <w:rsid w:val="000D0DF5"/>
    <w:rsid w:val="000D3C30"/>
    <w:rsid w:val="000E71F6"/>
    <w:rsid w:val="000E75EE"/>
    <w:rsid w:val="000F2104"/>
    <w:rsid w:val="000F5F2C"/>
    <w:rsid w:val="000F6AB5"/>
    <w:rsid w:val="00105CC1"/>
    <w:rsid w:val="00121412"/>
    <w:rsid w:val="001231DB"/>
    <w:rsid w:val="00124881"/>
    <w:rsid w:val="00126525"/>
    <w:rsid w:val="0013184D"/>
    <w:rsid w:val="001734D3"/>
    <w:rsid w:val="00182271"/>
    <w:rsid w:val="0018386A"/>
    <w:rsid w:val="00190C9B"/>
    <w:rsid w:val="0019160E"/>
    <w:rsid w:val="00197A5A"/>
    <w:rsid w:val="001A0AAF"/>
    <w:rsid w:val="001A3335"/>
    <w:rsid w:val="001A3F41"/>
    <w:rsid w:val="001A591F"/>
    <w:rsid w:val="001B3DFC"/>
    <w:rsid w:val="001C0A71"/>
    <w:rsid w:val="001C3E18"/>
    <w:rsid w:val="001C5E16"/>
    <w:rsid w:val="001C6875"/>
    <w:rsid w:val="001D3DCA"/>
    <w:rsid w:val="001E7EC0"/>
    <w:rsid w:val="001F32CD"/>
    <w:rsid w:val="001F7993"/>
    <w:rsid w:val="0020663F"/>
    <w:rsid w:val="00210965"/>
    <w:rsid w:val="00214160"/>
    <w:rsid w:val="00245887"/>
    <w:rsid w:val="002676E9"/>
    <w:rsid w:val="00272FE7"/>
    <w:rsid w:val="00273BF1"/>
    <w:rsid w:val="002901A5"/>
    <w:rsid w:val="002B3418"/>
    <w:rsid w:val="002B45A3"/>
    <w:rsid w:val="002B5F5E"/>
    <w:rsid w:val="002C51E9"/>
    <w:rsid w:val="002E6CA7"/>
    <w:rsid w:val="002F20A8"/>
    <w:rsid w:val="002F2975"/>
    <w:rsid w:val="002F2CF3"/>
    <w:rsid w:val="00305C6E"/>
    <w:rsid w:val="00312C96"/>
    <w:rsid w:val="00316554"/>
    <w:rsid w:val="0032615D"/>
    <w:rsid w:val="00330263"/>
    <w:rsid w:val="00333429"/>
    <w:rsid w:val="00334718"/>
    <w:rsid w:val="003405D5"/>
    <w:rsid w:val="0034117F"/>
    <w:rsid w:val="00353F12"/>
    <w:rsid w:val="00366F8F"/>
    <w:rsid w:val="00377C13"/>
    <w:rsid w:val="00382DB8"/>
    <w:rsid w:val="003940C6"/>
    <w:rsid w:val="003A347D"/>
    <w:rsid w:val="003C5ED9"/>
    <w:rsid w:val="003D1DA1"/>
    <w:rsid w:val="003D6142"/>
    <w:rsid w:val="003E2A59"/>
    <w:rsid w:val="003E2DBE"/>
    <w:rsid w:val="003E30A4"/>
    <w:rsid w:val="003E3D17"/>
    <w:rsid w:val="00400995"/>
    <w:rsid w:val="0040653D"/>
    <w:rsid w:val="00414DAF"/>
    <w:rsid w:val="00431F1A"/>
    <w:rsid w:val="004352D0"/>
    <w:rsid w:val="0043779E"/>
    <w:rsid w:val="004530F2"/>
    <w:rsid w:val="004734B1"/>
    <w:rsid w:val="004737FA"/>
    <w:rsid w:val="00476685"/>
    <w:rsid w:val="00480D60"/>
    <w:rsid w:val="00482047"/>
    <w:rsid w:val="00486E96"/>
    <w:rsid w:val="0049739E"/>
    <w:rsid w:val="004A7104"/>
    <w:rsid w:val="004B041A"/>
    <w:rsid w:val="004B1795"/>
    <w:rsid w:val="004B23F9"/>
    <w:rsid w:val="004E1B71"/>
    <w:rsid w:val="004E44B8"/>
    <w:rsid w:val="00502351"/>
    <w:rsid w:val="005176E0"/>
    <w:rsid w:val="005344E2"/>
    <w:rsid w:val="00545522"/>
    <w:rsid w:val="0054745D"/>
    <w:rsid w:val="00550D65"/>
    <w:rsid w:val="00555790"/>
    <w:rsid w:val="005557A7"/>
    <w:rsid w:val="00557B4C"/>
    <w:rsid w:val="00561456"/>
    <w:rsid w:val="0056204C"/>
    <w:rsid w:val="0057054E"/>
    <w:rsid w:val="00570B8C"/>
    <w:rsid w:val="00570D7D"/>
    <w:rsid w:val="00573142"/>
    <w:rsid w:val="00573A65"/>
    <w:rsid w:val="00574482"/>
    <w:rsid w:val="00595C08"/>
    <w:rsid w:val="005A6188"/>
    <w:rsid w:val="005B1651"/>
    <w:rsid w:val="005B257C"/>
    <w:rsid w:val="005C12E0"/>
    <w:rsid w:val="005E006E"/>
    <w:rsid w:val="005E5E28"/>
    <w:rsid w:val="005E60C2"/>
    <w:rsid w:val="005E68C7"/>
    <w:rsid w:val="005E7FDF"/>
    <w:rsid w:val="005F3DA2"/>
    <w:rsid w:val="0060001B"/>
    <w:rsid w:val="00614F9D"/>
    <w:rsid w:val="00617EAC"/>
    <w:rsid w:val="006200B2"/>
    <w:rsid w:val="00627CC2"/>
    <w:rsid w:val="00633126"/>
    <w:rsid w:val="00647DAB"/>
    <w:rsid w:val="006549D7"/>
    <w:rsid w:val="0066154A"/>
    <w:rsid w:val="00663FE7"/>
    <w:rsid w:val="006708AD"/>
    <w:rsid w:val="0067180A"/>
    <w:rsid w:val="006779B6"/>
    <w:rsid w:val="00686699"/>
    <w:rsid w:val="006C7527"/>
    <w:rsid w:val="006D019A"/>
    <w:rsid w:val="006D69FD"/>
    <w:rsid w:val="006E07AB"/>
    <w:rsid w:val="0070025C"/>
    <w:rsid w:val="00707779"/>
    <w:rsid w:val="007170D9"/>
    <w:rsid w:val="00720B1A"/>
    <w:rsid w:val="00740E1B"/>
    <w:rsid w:val="007412C6"/>
    <w:rsid w:val="00743487"/>
    <w:rsid w:val="00744C0F"/>
    <w:rsid w:val="00747FE1"/>
    <w:rsid w:val="0078021D"/>
    <w:rsid w:val="00782989"/>
    <w:rsid w:val="00782C51"/>
    <w:rsid w:val="00786FED"/>
    <w:rsid w:val="007A06FD"/>
    <w:rsid w:val="007A29C1"/>
    <w:rsid w:val="007A3851"/>
    <w:rsid w:val="007B0BA3"/>
    <w:rsid w:val="007C6FB8"/>
    <w:rsid w:val="007D418F"/>
    <w:rsid w:val="007E19E3"/>
    <w:rsid w:val="007E4B77"/>
    <w:rsid w:val="00800086"/>
    <w:rsid w:val="00830CB5"/>
    <w:rsid w:val="00830D3E"/>
    <w:rsid w:val="00866748"/>
    <w:rsid w:val="00867930"/>
    <w:rsid w:val="00877513"/>
    <w:rsid w:val="008833C7"/>
    <w:rsid w:val="00887CF6"/>
    <w:rsid w:val="00890E2A"/>
    <w:rsid w:val="00893A4F"/>
    <w:rsid w:val="00896D01"/>
    <w:rsid w:val="008A4A74"/>
    <w:rsid w:val="008B52DB"/>
    <w:rsid w:val="008B746E"/>
    <w:rsid w:val="008C11F4"/>
    <w:rsid w:val="008C273E"/>
    <w:rsid w:val="008D32BC"/>
    <w:rsid w:val="008D3F80"/>
    <w:rsid w:val="008D4591"/>
    <w:rsid w:val="008D5309"/>
    <w:rsid w:val="008D6C55"/>
    <w:rsid w:val="008E0248"/>
    <w:rsid w:val="008E0FAD"/>
    <w:rsid w:val="008F3B18"/>
    <w:rsid w:val="008F66CD"/>
    <w:rsid w:val="008F67D0"/>
    <w:rsid w:val="0091061D"/>
    <w:rsid w:val="00910F86"/>
    <w:rsid w:val="00916750"/>
    <w:rsid w:val="00922D49"/>
    <w:rsid w:val="00930436"/>
    <w:rsid w:val="00933D57"/>
    <w:rsid w:val="00940173"/>
    <w:rsid w:val="00942102"/>
    <w:rsid w:val="00965060"/>
    <w:rsid w:val="00973E1B"/>
    <w:rsid w:val="009837EB"/>
    <w:rsid w:val="00992EFD"/>
    <w:rsid w:val="0099426C"/>
    <w:rsid w:val="00994879"/>
    <w:rsid w:val="009A2283"/>
    <w:rsid w:val="009B0ED2"/>
    <w:rsid w:val="009C1C03"/>
    <w:rsid w:val="009D60B5"/>
    <w:rsid w:val="009E2567"/>
    <w:rsid w:val="009F4AEF"/>
    <w:rsid w:val="009F61FC"/>
    <w:rsid w:val="009F6885"/>
    <w:rsid w:val="009F7C60"/>
    <w:rsid w:val="00A10544"/>
    <w:rsid w:val="00A132D1"/>
    <w:rsid w:val="00A23B7D"/>
    <w:rsid w:val="00A5391E"/>
    <w:rsid w:val="00A61BEA"/>
    <w:rsid w:val="00A628A3"/>
    <w:rsid w:val="00A664D9"/>
    <w:rsid w:val="00A72AAE"/>
    <w:rsid w:val="00A75306"/>
    <w:rsid w:val="00A75715"/>
    <w:rsid w:val="00A83853"/>
    <w:rsid w:val="00A83AFB"/>
    <w:rsid w:val="00A949F6"/>
    <w:rsid w:val="00A96812"/>
    <w:rsid w:val="00AA441E"/>
    <w:rsid w:val="00AA4593"/>
    <w:rsid w:val="00AB1971"/>
    <w:rsid w:val="00AC56F1"/>
    <w:rsid w:val="00AE0199"/>
    <w:rsid w:val="00AF25E2"/>
    <w:rsid w:val="00AF5BF0"/>
    <w:rsid w:val="00B04DA9"/>
    <w:rsid w:val="00B10045"/>
    <w:rsid w:val="00B36E40"/>
    <w:rsid w:val="00B4463A"/>
    <w:rsid w:val="00B614B9"/>
    <w:rsid w:val="00B6584F"/>
    <w:rsid w:val="00B67C36"/>
    <w:rsid w:val="00B70D75"/>
    <w:rsid w:val="00B73D36"/>
    <w:rsid w:val="00B97A6B"/>
    <w:rsid w:val="00BA2F7D"/>
    <w:rsid w:val="00BB4840"/>
    <w:rsid w:val="00BD1C00"/>
    <w:rsid w:val="00BF13DF"/>
    <w:rsid w:val="00C20F57"/>
    <w:rsid w:val="00C259AC"/>
    <w:rsid w:val="00C400A1"/>
    <w:rsid w:val="00C40B4B"/>
    <w:rsid w:val="00C41111"/>
    <w:rsid w:val="00C468E9"/>
    <w:rsid w:val="00C576B2"/>
    <w:rsid w:val="00C64E9B"/>
    <w:rsid w:val="00C652EB"/>
    <w:rsid w:val="00C919CE"/>
    <w:rsid w:val="00C91ECE"/>
    <w:rsid w:val="00C962FB"/>
    <w:rsid w:val="00CA331E"/>
    <w:rsid w:val="00CC3A10"/>
    <w:rsid w:val="00CD7C85"/>
    <w:rsid w:val="00CE001F"/>
    <w:rsid w:val="00CE4E39"/>
    <w:rsid w:val="00CF40EA"/>
    <w:rsid w:val="00CF5854"/>
    <w:rsid w:val="00CF5A14"/>
    <w:rsid w:val="00D02BD5"/>
    <w:rsid w:val="00D042C6"/>
    <w:rsid w:val="00D16B2C"/>
    <w:rsid w:val="00D20E37"/>
    <w:rsid w:val="00D52BF6"/>
    <w:rsid w:val="00D550CD"/>
    <w:rsid w:val="00D66D3E"/>
    <w:rsid w:val="00D7053D"/>
    <w:rsid w:val="00D748DB"/>
    <w:rsid w:val="00D752F3"/>
    <w:rsid w:val="00D87D5D"/>
    <w:rsid w:val="00D94200"/>
    <w:rsid w:val="00DC03A2"/>
    <w:rsid w:val="00DC7EC9"/>
    <w:rsid w:val="00DD522C"/>
    <w:rsid w:val="00DF4FEF"/>
    <w:rsid w:val="00DF70EA"/>
    <w:rsid w:val="00E02F2D"/>
    <w:rsid w:val="00E13152"/>
    <w:rsid w:val="00E16255"/>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7C5B"/>
    <w:rsid w:val="00F518A1"/>
    <w:rsid w:val="00F51936"/>
    <w:rsid w:val="00F53566"/>
    <w:rsid w:val="00F727FB"/>
    <w:rsid w:val="00F86FEA"/>
    <w:rsid w:val="00F921D4"/>
    <w:rsid w:val="00F95F2F"/>
    <w:rsid w:val="00FA00EF"/>
    <w:rsid w:val="00FA0914"/>
    <w:rsid w:val="00FA6749"/>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CA5E0"/>
  <w15:docId w15:val="{D41B5271-CE0C-4F77-9D6E-647BA08E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4421-4BA0-4C8C-BBA1-6C80158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2022-04-24T00:51:00Z</dcterms:created>
  <dcterms:modified xsi:type="dcterms:W3CDTF">2022-04-24T00:51:00Z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3.35</vt:lpwstr>
  </property>
  <property fmtid="{D5CDD505-2E9C-101B-9397-08002B2CF9AE}" pid="6" name="Portfolio3Month">
    <vt:lpwstr>-0.11</vt:lpwstr>
  </property>
  <property fmtid="{D5CDD505-2E9C-101B-9397-08002B2CF9AE}" pid="7" name="Portfolio6Month">
    <vt:lpwstr>0.97</vt:lpwstr>
  </property>
  <property fmtid="{D5CDD505-2E9C-101B-9397-08002B2CF9AE}" pid="8" name="Portfolio12Month">
    <vt:lpwstr>1.70</vt:lpwstr>
  </property>
  <property fmtid="{D5CDD505-2E9C-101B-9397-08002B2CF9AE}" pid="9" name="Portfolio3Years">
    <vt:lpwstr>13.71</vt:lpwstr>
  </property>
  <property fmtid="{D5CDD505-2E9C-101B-9397-08002B2CF9AE}" pid="10" name="PortfolioInceptionPa">
    <vt:lpwstr>11.92</vt:lpwstr>
  </property>
  <property fmtid="{D5CDD505-2E9C-101B-9397-08002B2CF9AE}" pid="11" name="Benchmark1Month">
    <vt:lpwstr>6.89</vt:lpwstr>
  </property>
  <property fmtid="{D5CDD505-2E9C-101B-9397-08002B2CF9AE}" pid="12" name="Benchmark3Month">
    <vt:lpwstr>2.24</vt:lpwstr>
  </property>
  <property fmtid="{D5CDD505-2E9C-101B-9397-08002B2CF9AE}" pid="13" name="Benchmark6Month">
    <vt:lpwstr>4.38</vt:lpwstr>
  </property>
  <property fmtid="{D5CDD505-2E9C-101B-9397-08002B2CF9AE}" pid="14" name="Benchmark12Month">
    <vt:lpwstr>14.97</vt:lpwstr>
  </property>
  <property fmtid="{D5CDD505-2E9C-101B-9397-08002B2CF9AE}" pid="15" name="Benchmark3Years">
    <vt:lpwstr>10.58</vt:lpwstr>
  </property>
  <property fmtid="{D5CDD505-2E9C-101B-9397-08002B2CF9AE}" pid="16" name="BenchmarkInceptionPa">
    <vt:lpwstr>8.29</vt:lpwstr>
  </property>
  <property fmtid="{D5CDD505-2E9C-101B-9397-08002B2CF9AE}" pid="17" name="Relative1Month">
    <vt:lpwstr>-3.54</vt:lpwstr>
  </property>
  <property fmtid="{D5CDD505-2E9C-101B-9397-08002B2CF9AE}" pid="18" name="Relative3Month">
    <vt:lpwstr>-2.35</vt:lpwstr>
  </property>
  <property fmtid="{D5CDD505-2E9C-101B-9397-08002B2CF9AE}" pid="19" name="Relative6Month">
    <vt:lpwstr>-3.41</vt:lpwstr>
  </property>
  <property fmtid="{D5CDD505-2E9C-101B-9397-08002B2CF9AE}" pid="20" name="Relative12Month">
    <vt:lpwstr>-13.27</vt:lpwstr>
  </property>
  <property fmtid="{D5CDD505-2E9C-101B-9397-08002B2CF9AE}" pid="21" name="Relative3Years">
    <vt:lpwstr>3.13</vt:lpwstr>
  </property>
  <property fmtid="{D5CDD505-2E9C-101B-9397-08002B2CF9AE}" pid="22" name="RelativeInceptionPa">
    <vt:lpwstr>3.63</vt:lpwstr>
  </property>
</Properties>
</file>