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C6" w:rsidRPr="000578E2" w:rsidRDefault="00D908A4" w:rsidP="00D042C6">
      <w:pPr>
        <w:spacing w:after="0"/>
        <w:rPr>
          <w:b/>
          <w:color w:val="595959"/>
          <w:sz w:val="40"/>
        </w:rPr>
      </w:pPr>
      <w:r>
        <w:rPr>
          <w:b/>
          <w:noProof/>
          <w:color w:val="595959"/>
          <w:sz w:val="40"/>
          <w:lang w:val="en-US"/>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7280" cy="1038334"/>
                    </a:xfrm>
                    <a:prstGeom prst="rect">
                      <a:avLst/>
                    </a:prstGeom>
                  </pic:spPr>
                </pic:pic>
              </a:graphicData>
            </a:graphic>
          </wp:inline>
        </w:drawing>
      </w:r>
    </w:p>
    <w:p w:rsidR="00073D80" w:rsidRPr="000578E2" w:rsidRDefault="000A2C55" w:rsidP="00D042C6">
      <w:pPr>
        <w:spacing w:after="0"/>
        <w:rPr>
          <w:b/>
          <w:color w:val="595959"/>
          <w:sz w:val="40"/>
        </w:rPr>
      </w:pPr>
      <w:r>
        <w:rPr>
          <w:b/>
          <w:color w:val="595959"/>
          <w:sz w:val="40"/>
        </w:rPr>
        <w:t>AC Managed Equity Portfolio</w:t>
      </w:r>
    </w:p>
    <w:p w:rsidR="00D042C6" w:rsidRPr="000578E2" w:rsidRDefault="000A2C55" w:rsidP="00D042C6">
      <w:pPr>
        <w:spacing w:after="0"/>
        <w:rPr>
          <w:b/>
          <w:color w:val="595959"/>
          <w:sz w:val="40"/>
        </w:rPr>
      </w:pPr>
      <w:r>
        <w:rPr>
          <w:b/>
          <w:color w:val="595959"/>
          <w:sz w:val="40"/>
        </w:rPr>
        <w:t>December 2021</w:t>
      </w:r>
      <w:r w:rsidR="00D042C6" w:rsidRPr="000578E2">
        <w:rPr>
          <w:b/>
          <w:color w:val="595959"/>
          <w:sz w:val="40"/>
        </w:rPr>
        <w:t xml:space="preserve"> Quarterly Review</w:t>
      </w:r>
    </w:p>
    <w:p w:rsidR="00334718" w:rsidRPr="000578E2" w:rsidRDefault="00334718" w:rsidP="008D5309">
      <w:pPr>
        <w:pStyle w:val="Heading2"/>
        <w:spacing w:before="480"/>
        <w:sectPr w:rsidR="00334718" w:rsidRPr="000578E2" w:rsidSect="009A2283">
          <w:footerReference w:type="even" r:id="rId10"/>
          <w:footerReference w:type="default" r:id="rId11"/>
          <w:type w:val="continuous"/>
          <w:pgSz w:w="11900" w:h="16840"/>
          <w:pgMar w:top="1440" w:right="1410" w:bottom="1440" w:left="1276" w:header="708" w:footer="708" w:gutter="0"/>
          <w:cols w:space="708"/>
        </w:sectPr>
      </w:pPr>
    </w:p>
    <w:p w:rsidR="008F3B18" w:rsidRPr="000578E2" w:rsidRDefault="008F3B18" w:rsidP="008F3B18">
      <w:pPr>
        <w:spacing w:before="120"/>
        <w:jc w:val="both"/>
      </w:pPr>
    </w:p>
    <w:p w:rsidR="00FA00EF" w:rsidRPr="000578E2" w:rsidRDefault="000A2C55" w:rsidP="008F3B18">
      <w:pPr>
        <w:pStyle w:val="Heading2"/>
        <w:spacing w:before="120" w:after="60"/>
      </w:pPr>
      <w:r w:rsidRPr="000578E2">
        <w:t>Portfolio Performance</w:t>
      </w:r>
    </w:p>
    <w:p w:rsidR="00FA00EF" w:rsidRPr="000578E2" w:rsidRDefault="00FA00EF" w:rsidP="008F3B18">
      <w:pPr>
        <w:spacing w:before="120"/>
        <w:ind w:right="-142"/>
        <w:sectPr w:rsidR="00FA00EF" w:rsidRPr="000578E2" w:rsidSect="00334718">
          <w:type w:val="continuous"/>
          <w:pgSz w:w="11900" w:h="16840"/>
          <w:pgMar w:top="1440" w:right="1410" w:bottom="1440" w:left="1276" w:header="708" w:footer="708" w:gutter="0"/>
          <w:cols w:space="708"/>
        </w:sectPr>
      </w:pPr>
    </w:p>
    <w:p w:rsidR="00D16B2C" w:rsidRPr="000578E2" w:rsidRDefault="00D16B2C" w:rsidP="008F3B18">
      <w:pPr>
        <w:spacing w:before="120"/>
        <w:jc w:val="both"/>
        <w:rPr>
          <w:rFonts w:eastAsia="Hiragino Kaku Gothic Pro W6" w:cs="Segoe UI"/>
        </w:rPr>
      </w:pPr>
      <w:r w:rsidRPr="000578E2">
        <w:rPr>
          <w:rFonts w:eastAsia="Hiragino Kaku Gothic Pro W6" w:cs="Segoe UI"/>
        </w:rPr>
        <w:lastRenderedPageBreak/>
        <w:t xml:space="preserve">The </w:t>
      </w:r>
      <w:r>
        <w:rPr>
          <w:rFonts w:eastAsia="Hiragino Kaku Gothic Pro W6" w:cs="Segoe UI"/>
        </w:rPr>
        <w:t>AC Managed Equity Portfolio</w:t>
      </w:r>
      <w:r w:rsidR="00073D80" w:rsidRPr="000578E2">
        <w:rPr>
          <w:rFonts w:eastAsia="Hiragino Kaku Gothic Pro W6" w:cs="Segoe UI"/>
        </w:rPr>
        <w:t xml:space="preserve"> </w:t>
      </w:r>
      <w:r w:rsidRPr="000578E2">
        <w:rPr>
          <w:rFonts w:eastAsia="Hiragino Kaku Gothic Pro W6" w:cs="Segoe UI"/>
        </w:rPr>
        <w:t xml:space="preserve">returned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Portfolio3Month  \* MERGEFORMAT </w:instrText>
      </w:r>
      <w:r w:rsidR="00866748" w:rsidRPr="00720B1A">
        <w:rPr>
          <w:rFonts w:eastAsia="Hiragino Kaku Gothic Pro W6" w:cs="Segoe UI"/>
        </w:rPr>
        <w:fldChar w:fldCharType="separate"/>
      </w:r>
      <w:r w:rsidR="00866748" w:rsidRPr="00720B1A">
        <w:rPr>
          <w:rFonts w:eastAsia="Hiragino Kaku Gothic Pro W6" w:cs="Segoe UI"/>
        </w:rPr>
        <w:t>1.09</w:t>
      </w:r>
      <w:r w:rsidR="00866748" w:rsidRPr="00720B1A">
        <w:rPr>
          <w:rFonts w:eastAsia="Hiragino Kaku Gothic Pro W6" w:cs="Segoe UI"/>
        </w:rPr>
        <w:fldChar w:fldCharType="end"/>
      </w:r>
      <w:r w:rsidR="00E330B1" w:rsidRPr="00720B1A">
        <w:rPr>
          <w:rFonts w:eastAsia="Hiragino Kaku Gothic Pro W6" w:cs="Segoe UI"/>
        </w:rPr>
        <w:t>%</w:t>
      </w:r>
      <w:r w:rsidR="00930436">
        <w:rPr>
          <w:rFonts w:eastAsia="Hiragino Kaku Gothic Pro W6" w:cs="Segoe UI"/>
        </w:rPr>
        <w:t xml:space="preserve"> compared to the benchmark </w:t>
      </w:r>
      <w:r>
        <w:rPr>
          <w:rFonts w:eastAsia="Hiragino Kaku Gothic Pro W6" w:cs="Segoe UI"/>
        </w:rPr>
        <w:t xml:space="preserve">S&amp;P/ASX 200 (TR) </w:t>
      </w:r>
      <w:r w:rsidRPr="000578E2">
        <w:rPr>
          <w:rFonts w:eastAsia="Hiragino Kaku Gothic Pro W6" w:cs="Segoe UI"/>
        </w:rPr>
        <w:t xml:space="preserve">return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Benchmark3Month  \* MERGEFORMAT </w:instrText>
      </w:r>
      <w:r w:rsidR="00866748" w:rsidRPr="00720B1A">
        <w:rPr>
          <w:rFonts w:eastAsia="Hiragino Kaku Gothic Pro W6" w:cs="Segoe UI"/>
        </w:rPr>
        <w:fldChar w:fldCharType="separate"/>
      </w:r>
      <w:r w:rsidR="00866748" w:rsidRPr="00720B1A">
        <w:rPr>
          <w:rFonts w:eastAsia="Hiragino Kaku Gothic Pro W6" w:cs="Segoe UI"/>
        </w:rPr>
        <w:t>2.09</w:t>
      </w:r>
      <w:r w:rsidR="00866748" w:rsidRPr="00720B1A">
        <w:rPr>
          <w:rFonts w:eastAsia="Hiragino Kaku Gothic Pro W6" w:cs="Segoe UI"/>
        </w:rPr>
        <w:fldChar w:fldCharType="end"/>
      </w:r>
      <w:r w:rsidR="00E330B1" w:rsidRPr="00720B1A">
        <w:rPr>
          <w:rFonts w:eastAsia="Hiragino Kaku Gothic Pro W6" w:cs="Segoe UI"/>
        </w:rPr>
        <w:t>%</w:t>
      </w:r>
      <w:r w:rsidRPr="000578E2">
        <w:rPr>
          <w:rFonts w:eastAsia="Hiragino Kaku Gothic Pro W6" w:cs="Segoe UI"/>
        </w:rPr>
        <w:t xml:space="preserve"> giving a relative performance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Relative3Month  \* MERGEFORMAT </w:instrText>
      </w:r>
      <w:r w:rsidR="00866748" w:rsidRPr="00720B1A">
        <w:rPr>
          <w:rFonts w:eastAsia="Hiragino Kaku Gothic Pro W6" w:cs="Segoe UI"/>
        </w:rPr>
        <w:fldChar w:fldCharType="separate"/>
      </w:r>
      <w:r w:rsidR="00866748" w:rsidRPr="00720B1A">
        <w:rPr>
          <w:rFonts w:eastAsia="Hiragino Kaku Gothic Pro W6" w:cs="Segoe UI"/>
        </w:rPr>
        <w:t>-1.00</w:t>
      </w:r>
      <w:r w:rsidR="00866748" w:rsidRPr="00720B1A">
        <w:rPr>
          <w:rFonts w:eastAsia="Hiragino Kaku Gothic Pro W6" w:cs="Segoe UI"/>
        </w:rPr>
        <w:fldChar w:fldCharType="end"/>
      </w:r>
      <w:r w:rsidR="00E330B1" w:rsidRPr="00720B1A">
        <w:rPr>
          <w:rFonts w:eastAsia="Hiragino Kaku Gothic Pro W6" w:cs="Segoe UI"/>
        </w:rPr>
        <w:t>%</w:t>
      </w:r>
      <w:r w:rsidR="000A2C55" w:rsidRPr="000578E2">
        <w:rPr>
          <w:rFonts w:eastAsia="Hiragino Kaku Gothic Pro W6" w:cs="Segoe UI"/>
        </w:rPr>
        <w:t xml:space="preserve"> </w:t>
      </w:r>
      <w:r w:rsidRPr="000578E2">
        <w:rPr>
          <w:rFonts w:eastAsia="Hiragino Kaku Gothic Pro W6" w:cs="Segoe UI"/>
        </w:rPr>
        <w:t>for the period.</w:t>
      </w:r>
    </w:p>
    <w:p w:rsidR="008F3B18" w:rsidRPr="000578E2" w:rsidRDefault="008F3B18" w:rsidP="008F3B18">
      <w:pPr>
        <w:spacing w:before="120"/>
        <w:jc w:val="both"/>
        <w:rPr>
          <w:rFonts w:eastAsia="Hiragino Kaku Gothic Pro W6" w:cs="Segoe UI"/>
        </w:rPr>
      </w:pPr>
    </w:p>
    <w:p w:rsidR="0056204C" w:rsidRPr="000578E2" w:rsidRDefault="0056204C" w:rsidP="0056204C">
      <w:pPr>
        <w:pStyle w:val="Heading2"/>
        <w:spacing w:before="0"/>
        <w:rPr>
          <w:sz w:val="24"/>
          <w:szCs w:val="24"/>
        </w:rPr>
      </w:pPr>
      <w:r w:rsidRPr="000578E2">
        <w:rPr>
          <w:sz w:val="24"/>
          <w:szCs w:val="24"/>
        </w:rPr>
        <w:t xml:space="preserve">Performance to </w:t>
      </w:r>
      <w:r>
        <w:rPr>
          <w:sz w:val="24"/>
          <w:szCs w:val="24"/>
        </w:rPr>
        <w:t>31 December 2021</w:t>
      </w:r>
    </w:p>
    <w:tbl>
      <w:tblPr>
        <w:tblW w:w="9214" w:type="dxa"/>
        <w:tblInd w:w="108" w:type="dxa"/>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Layout w:type="fixed"/>
        <w:tblLook w:val="04A0" w:firstRow="1" w:lastRow="0" w:firstColumn="1" w:lastColumn="0" w:noHBand="0" w:noVBand="1"/>
      </w:tblPr>
      <w:tblGrid>
        <w:gridCol w:w="1329"/>
        <w:gridCol w:w="1365"/>
        <w:gridCol w:w="1275"/>
        <w:gridCol w:w="1276"/>
        <w:gridCol w:w="1276"/>
        <w:gridCol w:w="1276"/>
        <w:gridCol w:w="1417"/>
      </w:tblGrid>
      <w:tr w:rsidR="00334718" w:rsidRPr="000578E2" w:rsidTr="008F3B18">
        <w:trPr>
          <w:trHeight w:val="1021"/>
        </w:trPr>
        <w:tc>
          <w:tcPr>
            <w:tcW w:w="1329"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Return %</w:t>
            </w:r>
          </w:p>
        </w:tc>
        <w:tc>
          <w:tcPr>
            <w:tcW w:w="136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Month</w:t>
            </w:r>
          </w:p>
        </w:tc>
        <w:tc>
          <w:tcPr>
            <w:tcW w:w="127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Six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Year</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Year</w:t>
            </w:r>
          </w:p>
        </w:tc>
        <w:tc>
          <w:tcPr>
            <w:tcW w:w="1417"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Since</w:t>
            </w:r>
            <w:r w:rsidRPr="000578E2">
              <w:rPr>
                <w:rFonts w:eastAsia="Hiragino Kaku Gothic Pro W6" w:cs="Segoe UI"/>
                <w:sz w:val="20"/>
                <w:szCs w:val="20"/>
              </w:rPr>
              <w:br/>
              <w:t>Inception (</w:t>
            </w:r>
            <w:r>
              <w:rPr>
                <w:rFonts w:eastAsia="Hiragino Kaku Gothic Pro W6" w:cs="Segoe UI"/>
                <w:sz w:val="20"/>
                <w:szCs w:val="20"/>
              </w:rPr>
              <w:t>29/10/2013</w:t>
            </w:r>
            <w:r w:rsidRPr="000578E2">
              <w:rPr>
                <w:rFonts w:eastAsia="Hiragino Kaku Gothic Pro W6" w:cs="Segoe UI"/>
                <w:sz w:val="20"/>
                <w:szCs w:val="20"/>
              </w:rPr>
              <w:t>)</w:t>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Portfolio</w:t>
            </w:r>
          </w:p>
        </w:tc>
        <w:tc>
          <w:tcPr>
            <w:tcW w:w="1365" w:type="dxa"/>
            <w:shd w:val="clear" w:color="auto" w:fill="auto"/>
            <w:vAlign w:val="center"/>
          </w:tcPr>
          <w:p w:rsidR="00334718" w:rsidRPr="000578E2" w:rsidRDefault="000939CB"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Portfolio1Month  \* MERGEFORMAT </w:instrText>
            </w:r>
            <w:r w:rsidRPr="000578E2">
              <w:rPr>
                <w:color w:val="000000"/>
                <w:sz w:val="20"/>
                <w:szCs w:val="20"/>
              </w:rPr>
              <w:fldChar w:fldCharType="separate"/>
            </w:r>
            <w:r w:rsidRPr="000578E2">
              <w:rPr>
                <w:color w:val="000000"/>
                <w:sz w:val="20"/>
                <w:szCs w:val="20"/>
              </w:rPr>
              <w:t>0.61</w:t>
            </w:r>
            <w:r w:rsidRPr="000578E2">
              <w:rPr>
                <w:color w:val="000000"/>
                <w:sz w:val="20"/>
                <w:szCs w:val="20"/>
              </w:rPr>
              <w:fldChar w:fldCharType="end"/>
            </w:r>
          </w:p>
        </w:tc>
        <w:tc>
          <w:tcPr>
            <w:tcW w:w="1275" w:type="dxa"/>
            <w:shd w:val="clear" w:color="auto" w:fill="auto"/>
            <w:vAlign w:val="center"/>
          </w:tcPr>
          <w:p w:rsidR="00334718" w:rsidRPr="000578E2" w:rsidRDefault="00DC7EC9"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Portfolio3Month  \* MERGEFORMAT </w:instrText>
            </w:r>
            <w:r w:rsidRPr="000578E2">
              <w:rPr>
                <w:color w:val="000000"/>
                <w:sz w:val="20"/>
                <w:szCs w:val="20"/>
              </w:rPr>
              <w:fldChar w:fldCharType="separate"/>
            </w:r>
            <w:r w:rsidRPr="000578E2">
              <w:rPr>
                <w:color w:val="000000"/>
                <w:sz w:val="20"/>
                <w:szCs w:val="20"/>
              </w:rPr>
              <w:t>1.09</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Portfolio6Month  \* MERGEFORMAT </w:instrText>
            </w:r>
            <w:r w:rsidRPr="000578E2">
              <w:rPr>
                <w:color w:val="000000"/>
                <w:sz w:val="20"/>
                <w:szCs w:val="20"/>
              </w:rPr>
              <w:fldChar w:fldCharType="separate"/>
            </w:r>
            <w:r w:rsidRPr="000578E2">
              <w:rPr>
                <w:color w:val="000000"/>
                <w:sz w:val="20"/>
                <w:szCs w:val="20"/>
              </w:rPr>
              <w:t>-1.63</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Portfolio12Month  \* MERGEFORMAT </w:instrText>
            </w:r>
            <w:r w:rsidRPr="000578E2">
              <w:rPr>
                <w:color w:val="000000"/>
                <w:sz w:val="20"/>
                <w:szCs w:val="20"/>
              </w:rPr>
              <w:fldChar w:fldCharType="separate"/>
            </w:r>
            <w:r w:rsidRPr="000578E2">
              <w:rPr>
                <w:color w:val="000000"/>
                <w:sz w:val="20"/>
                <w:szCs w:val="20"/>
              </w:rPr>
              <w:t>-6.78</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Portfolio3Years  \* MERGEFORMAT </w:instrText>
            </w:r>
            <w:r w:rsidRPr="000578E2">
              <w:rPr>
                <w:color w:val="000000"/>
                <w:sz w:val="20"/>
                <w:szCs w:val="20"/>
              </w:rPr>
              <w:fldChar w:fldCharType="separate"/>
            </w:r>
            <w:r w:rsidRPr="000578E2">
              <w:rPr>
                <w:color w:val="000000"/>
                <w:sz w:val="20"/>
                <w:szCs w:val="20"/>
              </w:rPr>
              <w:t>18.61</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PortfolioInceptionPa  \* MERGEFORMAT </w:instrText>
            </w:r>
            <w:r w:rsidRPr="000578E2">
              <w:rPr>
                <w:color w:val="000000"/>
                <w:sz w:val="20"/>
                <w:szCs w:val="20"/>
              </w:rPr>
              <w:fldChar w:fldCharType="separate"/>
            </w:r>
            <w:r w:rsidRPr="000578E2">
              <w:rPr>
                <w:color w:val="000000"/>
                <w:sz w:val="20"/>
                <w:szCs w:val="20"/>
              </w:rPr>
              <w:t>12.32</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Benchmark</w:t>
            </w:r>
          </w:p>
        </w:tc>
        <w:tc>
          <w:tcPr>
            <w:tcW w:w="136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Benchmark1Month  \* MERGEFORMAT </w:instrText>
            </w:r>
            <w:r w:rsidRPr="000578E2">
              <w:rPr>
                <w:color w:val="000000"/>
                <w:sz w:val="20"/>
                <w:szCs w:val="20"/>
              </w:rPr>
              <w:fldChar w:fldCharType="separate"/>
            </w:r>
            <w:r w:rsidRPr="000578E2">
              <w:rPr>
                <w:color w:val="000000"/>
                <w:sz w:val="20"/>
                <w:szCs w:val="20"/>
              </w:rPr>
              <w:t>2.75</w:t>
            </w:r>
            <w:r w:rsidRPr="000578E2">
              <w:rPr>
                <w:color w:val="000000"/>
                <w:sz w:val="20"/>
                <w:szCs w:val="20"/>
              </w:rPr>
              <w:fldChar w:fldCharType="end"/>
            </w:r>
          </w:p>
        </w:tc>
        <w:tc>
          <w:tcPr>
            <w:tcW w:w="127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Benchmark3Month  \* MERGEFORMAT </w:instrText>
            </w:r>
            <w:r w:rsidRPr="000578E2">
              <w:rPr>
                <w:color w:val="000000"/>
                <w:sz w:val="20"/>
                <w:szCs w:val="20"/>
              </w:rPr>
              <w:fldChar w:fldCharType="separate"/>
            </w:r>
            <w:r w:rsidRPr="000578E2">
              <w:rPr>
                <w:color w:val="000000"/>
                <w:sz w:val="20"/>
                <w:szCs w:val="20"/>
              </w:rPr>
              <w:t>2.09</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Benchmark6Month  \* MERGEFORMAT </w:instrText>
            </w:r>
            <w:r w:rsidRPr="000578E2">
              <w:rPr>
                <w:color w:val="000000"/>
                <w:sz w:val="20"/>
                <w:szCs w:val="20"/>
              </w:rPr>
              <w:fldChar w:fldCharType="separate"/>
            </w:r>
            <w:r w:rsidRPr="000578E2">
              <w:rPr>
                <w:color w:val="000000"/>
                <w:sz w:val="20"/>
                <w:szCs w:val="20"/>
              </w:rPr>
              <w:t>3.84</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Benchmark12Month  \* MERGEFORMAT </w:instrText>
            </w:r>
            <w:r w:rsidRPr="000578E2">
              <w:rPr>
                <w:color w:val="000000"/>
                <w:sz w:val="20"/>
                <w:szCs w:val="20"/>
              </w:rPr>
              <w:fldChar w:fldCharType="separate"/>
            </w:r>
            <w:r w:rsidRPr="000578E2">
              <w:rPr>
                <w:color w:val="000000"/>
                <w:sz w:val="20"/>
                <w:szCs w:val="20"/>
              </w:rPr>
              <w:t>17.23</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Benchmark3Years  \* MERGEFORMAT </w:instrText>
            </w:r>
            <w:r w:rsidRPr="000578E2">
              <w:rPr>
                <w:color w:val="000000"/>
                <w:sz w:val="20"/>
                <w:szCs w:val="20"/>
              </w:rPr>
              <w:fldChar w:fldCharType="separate"/>
            </w:r>
            <w:r w:rsidRPr="000578E2">
              <w:rPr>
                <w:color w:val="000000"/>
                <w:sz w:val="20"/>
                <w:szCs w:val="20"/>
              </w:rPr>
              <w:t>13.61</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BenchmarkInceptionPa  \* MERGEFORMAT </w:instrText>
            </w:r>
            <w:r w:rsidRPr="000578E2">
              <w:rPr>
                <w:color w:val="000000"/>
                <w:sz w:val="20"/>
                <w:szCs w:val="20"/>
              </w:rPr>
              <w:fldChar w:fldCharType="separate"/>
            </w:r>
            <w:r w:rsidRPr="000578E2">
              <w:rPr>
                <w:color w:val="000000"/>
                <w:sz w:val="20"/>
                <w:szCs w:val="20"/>
              </w:rPr>
              <w:t>8.26</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b/>
                <w:sz w:val="20"/>
                <w:szCs w:val="20"/>
              </w:rPr>
            </w:pPr>
            <w:r w:rsidRPr="000578E2">
              <w:rPr>
                <w:rFonts w:eastAsia="Hiragino Kaku Gothic Pro W6" w:cs="Segoe UI"/>
                <w:b/>
                <w:sz w:val="20"/>
                <w:szCs w:val="20"/>
              </w:rPr>
              <w:t>Relative Performance</w:t>
            </w:r>
          </w:p>
        </w:tc>
        <w:tc>
          <w:tcPr>
            <w:tcW w:w="136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Relative1Month  \* MERGEFORMAT </w:instrText>
            </w:r>
            <w:r w:rsidRPr="000578E2">
              <w:rPr>
                <w:b/>
                <w:color w:val="000000"/>
                <w:sz w:val="20"/>
                <w:szCs w:val="20"/>
              </w:rPr>
              <w:fldChar w:fldCharType="separate"/>
            </w:r>
            <w:r w:rsidRPr="000578E2">
              <w:rPr>
                <w:b/>
                <w:color w:val="000000"/>
                <w:sz w:val="20"/>
                <w:szCs w:val="20"/>
              </w:rPr>
              <w:t>-2.14</w:t>
            </w:r>
            <w:r w:rsidRPr="000578E2">
              <w:rPr>
                <w:b/>
                <w:color w:val="000000"/>
                <w:sz w:val="20"/>
                <w:szCs w:val="20"/>
              </w:rPr>
              <w:fldChar w:fldCharType="end"/>
            </w:r>
          </w:p>
        </w:tc>
        <w:tc>
          <w:tcPr>
            <w:tcW w:w="127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Relative3Month  \* MERGEFORMAT </w:instrText>
            </w:r>
            <w:r w:rsidRPr="000578E2">
              <w:rPr>
                <w:b/>
                <w:color w:val="000000"/>
                <w:sz w:val="20"/>
                <w:szCs w:val="20"/>
              </w:rPr>
              <w:fldChar w:fldCharType="separate"/>
            </w:r>
            <w:r w:rsidRPr="000578E2">
              <w:rPr>
                <w:b/>
                <w:color w:val="000000"/>
                <w:sz w:val="20"/>
                <w:szCs w:val="20"/>
              </w:rPr>
              <w:t>-1.00</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Relative6Month  \* MERGEFORMAT </w:instrText>
            </w:r>
            <w:r w:rsidRPr="000578E2">
              <w:rPr>
                <w:b/>
                <w:color w:val="000000"/>
                <w:sz w:val="20"/>
                <w:szCs w:val="20"/>
              </w:rPr>
              <w:fldChar w:fldCharType="separate"/>
            </w:r>
            <w:r w:rsidRPr="000578E2">
              <w:rPr>
                <w:b/>
                <w:color w:val="000000"/>
                <w:sz w:val="20"/>
                <w:szCs w:val="20"/>
              </w:rPr>
              <w:t>-5.47</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Relative12Month  \* MERGEFORMAT </w:instrText>
            </w:r>
            <w:r w:rsidRPr="000578E2">
              <w:rPr>
                <w:b/>
                <w:color w:val="000000"/>
                <w:sz w:val="20"/>
                <w:szCs w:val="20"/>
              </w:rPr>
              <w:fldChar w:fldCharType="separate"/>
            </w:r>
            <w:r w:rsidRPr="000578E2">
              <w:rPr>
                <w:b/>
                <w:color w:val="000000"/>
                <w:sz w:val="20"/>
                <w:szCs w:val="20"/>
              </w:rPr>
              <w:t>-24.01</w:t>
            </w:r>
            <w:r w:rsidRPr="000578E2">
              <w:rPr>
                <w:b/>
                <w:color w:val="000000"/>
                <w:sz w:val="20"/>
                <w:szCs w:val="20"/>
              </w:rPr>
              <w:fldChar w:fldCharType="end"/>
            </w:r>
          </w:p>
        </w:tc>
        <w:tc>
          <w:tcPr>
            <w:tcW w:w="1276" w:type="dxa"/>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Relative3Years  \* MERGEFORMAT </w:instrText>
            </w:r>
            <w:r w:rsidRPr="000578E2">
              <w:rPr>
                <w:b/>
                <w:color w:val="000000"/>
                <w:sz w:val="20"/>
                <w:szCs w:val="20"/>
              </w:rPr>
              <w:fldChar w:fldCharType="separate"/>
            </w:r>
            <w:r w:rsidRPr="000578E2">
              <w:rPr>
                <w:b/>
                <w:color w:val="000000"/>
                <w:sz w:val="20"/>
                <w:szCs w:val="20"/>
              </w:rPr>
              <w:t>5.00</w:t>
            </w:r>
            <w:r w:rsidRPr="000578E2">
              <w:rPr>
                <w:b/>
                <w:color w:val="000000"/>
                <w:sz w:val="20"/>
                <w:szCs w:val="20"/>
              </w:rPr>
              <w:fldChar w:fldCharType="end"/>
            </w:r>
          </w:p>
        </w:tc>
        <w:tc>
          <w:tcPr>
            <w:tcW w:w="1417"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RelativeInceptionPa  \* MERGEFORMAT </w:instrText>
            </w:r>
            <w:r w:rsidRPr="000578E2">
              <w:rPr>
                <w:b/>
                <w:color w:val="000000"/>
                <w:sz w:val="20"/>
                <w:szCs w:val="20"/>
              </w:rPr>
              <w:fldChar w:fldCharType="separate"/>
            </w:r>
            <w:r w:rsidRPr="000578E2">
              <w:rPr>
                <w:b/>
                <w:color w:val="000000"/>
                <w:sz w:val="20"/>
                <w:szCs w:val="20"/>
              </w:rPr>
              <w:t>4.06</w:t>
            </w:r>
            <w:r w:rsidRPr="000578E2">
              <w:rPr>
                <w:b/>
                <w:color w:val="000000"/>
                <w:sz w:val="20"/>
                <w:szCs w:val="20"/>
              </w:rPr>
              <w:fldChar w:fldCharType="end"/>
            </w:r>
          </w:p>
        </w:tc>
      </w:tr>
    </w:tbl>
    <w:p w:rsidR="008D5309" w:rsidRPr="000578E2" w:rsidRDefault="008D5309" w:rsidP="008D5309">
      <w:pPr>
        <w:spacing w:after="0"/>
        <w:jc w:val="both"/>
        <w:rPr>
          <w:rFonts w:eastAsia="Hiragino Kaku Gothic Pro W6" w:cs="Segoe UI"/>
          <w:sz w:val="16"/>
          <w:szCs w:val="16"/>
        </w:rPr>
      </w:pPr>
      <w:r w:rsidRPr="000578E2">
        <w:rPr>
          <w:rFonts w:eastAsia="Hiragino Kaku Gothic Pro W6" w:cs="Segoe UI"/>
          <w:sz w:val="16"/>
          <w:szCs w:val="16"/>
        </w:rPr>
        <w:t>The table above sets out the investment performance returns (AFTER investment management fees, but BEFORE administration fees, performance based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0578E2" w:rsidRDefault="000A2C55" w:rsidP="008F3B18">
      <w:pPr>
        <w:pStyle w:val="Heading2"/>
        <w:spacing w:before="120" w:after="60"/>
        <w:rPr>
          <w:rFonts w:eastAsia="Hiragino Kaku Gothic Pro W6" w:cs="Segoe UI"/>
          <w:b w:val="0"/>
          <w:color w:val="1F497D"/>
          <w:sz w:val="24"/>
          <w:szCs w:val="24"/>
        </w:rPr>
      </w:pPr>
      <w:r w:rsidRPr="000578E2">
        <w:t>Quarterly Review</w:t>
      </w:r>
    </w:p>
    <w:p w:rsidR="00382DB8" w:rsidRPr="000578E2" w:rsidRDefault="00D908A4" w:rsidP="00382DB8">
      <w:pPr>
        <w:spacing w:before="120"/>
        <w:jc w:val="both"/>
        <w:rPr>
          <w:rFonts w:eastAsia="Hiragino Kaku Gothic Pro W6" w:cs="Segoe UI"/>
        </w:rPr>
      </w:pPr>
      <w:r>
        <w:rPr>
          <w:rFonts w:eastAsia="Hiragino Kaku Gothic Pro W6" w:cs="Segoe UI"/>
        </w:rPr>
        <w:t xml:space="preserve">The portfolio has been defensively positioned for 2021 but our expectation of a significant correction did not occur. Some of our biggest stocks like FMG and BGL had disappointing quarters, enough to tip the portfolio into negative territory for the quarter. MFG has also been weak. We’ve taken the </w:t>
      </w:r>
      <w:proofErr w:type="gramStart"/>
      <w:r>
        <w:rPr>
          <w:rFonts w:eastAsia="Hiragino Kaku Gothic Pro W6" w:cs="Segoe UI"/>
        </w:rPr>
        <w:t>longer term</w:t>
      </w:r>
      <w:proofErr w:type="gramEnd"/>
      <w:r>
        <w:rPr>
          <w:rFonts w:eastAsia="Hiragino Kaku Gothic Pro W6" w:cs="Segoe UI"/>
        </w:rPr>
        <w:t xml:space="preserve"> view that their clients are likely to be “sticky” and the $20 mark is a good entry</w:t>
      </w:r>
      <w:r w:rsidR="00D81623">
        <w:rPr>
          <w:rFonts w:eastAsia="Hiragino Kaku Gothic Pro W6" w:cs="Segoe UI"/>
        </w:rPr>
        <w:t>-</w:t>
      </w:r>
      <w:r>
        <w:rPr>
          <w:rFonts w:eastAsia="Hiragino Kaku Gothic Pro W6" w:cs="Segoe UI"/>
        </w:rPr>
        <w:t xml:space="preserve">point at under 4% of </w:t>
      </w:r>
      <w:proofErr w:type="spellStart"/>
      <w:r>
        <w:rPr>
          <w:rFonts w:eastAsia="Hiragino Kaku Gothic Pro W6" w:cs="Segoe UI"/>
        </w:rPr>
        <w:t>mkt</w:t>
      </w:r>
      <w:proofErr w:type="spellEnd"/>
      <w:r>
        <w:rPr>
          <w:rFonts w:eastAsia="Hiragino Kaku Gothic Pro W6" w:cs="Segoe UI"/>
        </w:rPr>
        <w:t xml:space="preserve"> cap to FUM for a portfolio manager that has a very good track record (except for 2021! </w:t>
      </w:r>
      <w:r w:rsidR="00D81623">
        <w:rPr>
          <w:rFonts w:eastAsia="Hiragino Kaku Gothic Pro W6" w:cs="Segoe UI"/>
        </w:rPr>
        <w:t xml:space="preserve">). </w:t>
      </w:r>
      <w:bookmarkStart w:id="0" w:name="_GoBack"/>
      <w:bookmarkEnd w:id="0"/>
      <w:r w:rsidR="00D81623">
        <w:rPr>
          <w:rFonts w:eastAsia="Hiragino Kaku Gothic Pro W6" w:cs="Segoe UI"/>
        </w:rPr>
        <w:t>So its been added to late in the quarter.</w:t>
      </w:r>
    </w:p>
    <w:p w:rsidR="008F3B18" w:rsidRPr="000578E2" w:rsidRDefault="008F3B18" w:rsidP="008D5309">
      <w:pPr>
        <w:rPr>
          <w:rFonts w:eastAsia="Hiragino Kaku Gothic Pro W6" w:cs="Segoe UI"/>
          <w:b/>
          <w:color w:val="1F497D"/>
        </w:rPr>
      </w:pPr>
    </w:p>
    <w:p w:rsidR="00D908A4" w:rsidRDefault="00D908A4" w:rsidP="008F3B18">
      <w:pPr>
        <w:pStyle w:val="Heading2"/>
        <w:spacing w:before="120" w:after="60"/>
        <w:rPr>
          <w:sz w:val="24"/>
          <w:szCs w:val="24"/>
        </w:rPr>
      </w:pPr>
    </w:p>
    <w:p w:rsidR="00D908A4" w:rsidRDefault="00D908A4" w:rsidP="008F3B18">
      <w:pPr>
        <w:pStyle w:val="Heading2"/>
        <w:spacing w:before="120" w:after="60"/>
        <w:rPr>
          <w:sz w:val="24"/>
          <w:szCs w:val="24"/>
        </w:rPr>
      </w:pPr>
    </w:p>
    <w:p w:rsidR="00D908A4" w:rsidRDefault="00D908A4" w:rsidP="008F3B18">
      <w:pPr>
        <w:pStyle w:val="Heading2"/>
        <w:spacing w:before="120" w:after="60"/>
        <w:rPr>
          <w:sz w:val="24"/>
          <w:szCs w:val="24"/>
        </w:rPr>
      </w:pPr>
    </w:p>
    <w:p w:rsidR="008D5309" w:rsidRPr="000578E2" w:rsidRDefault="0056204C" w:rsidP="008F3B18">
      <w:pPr>
        <w:pStyle w:val="Heading2"/>
        <w:spacing w:before="120" w:after="60"/>
        <w:rPr>
          <w:sz w:val="24"/>
          <w:szCs w:val="24"/>
        </w:rPr>
      </w:pPr>
      <w:r w:rsidRPr="000578E2">
        <w:rPr>
          <w:sz w:val="24"/>
          <w:szCs w:val="24"/>
        </w:rPr>
        <w:t xml:space="preserve">Top </w:t>
      </w:r>
      <w:r>
        <w:rPr>
          <w:sz w:val="24"/>
          <w:szCs w:val="24"/>
        </w:rPr>
        <w:t>5</w:t>
      </w:r>
      <w:r w:rsidRPr="000578E2">
        <w:rPr>
          <w:sz w:val="24"/>
          <w:szCs w:val="24"/>
        </w:rPr>
        <w:t xml:space="preserve"> stocks by weight as at </w:t>
      </w:r>
      <w:r>
        <w:rPr>
          <w:sz w:val="24"/>
          <w:szCs w:val="24"/>
        </w:rPr>
        <w:t>31 December 2021</w:t>
      </w:r>
    </w:p>
    <w:tbl>
      <w:tblPr>
        <w:tblW w:w="0" w:type="auto"/>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0578E2" w:rsidTr="004734B1">
        <w:tc>
          <w:tcPr>
            <w:tcW w:w="3827"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Company Name</w:t>
            </w:r>
          </w:p>
        </w:tc>
        <w:tc>
          <w:tcPr>
            <w:tcW w:w="3119"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Sector</w:t>
            </w:r>
          </w:p>
        </w:tc>
      </w:tr>
      <w:tr w:rsidR="005F10BA">
        <w:tc>
          <w:tcPr>
            <w:tcW w:w="2310" w:type="dxa"/>
          </w:tcPr>
          <w:p w:rsidR="005F10BA" w:rsidRDefault="00D908A4">
            <w:r>
              <w:t>BELLEVUE GOLD LTD ORDINARY</w:t>
            </w:r>
          </w:p>
        </w:tc>
        <w:tc>
          <w:tcPr>
            <w:tcW w:w="2310" w:type="dxa"/>
          </w:tcPr>
          <w:p w:rsidR="005F10BA" w:rsidRDefault="00D908A4">
            <w:r>
              <w:t>Materials</w:t>
            </w:r>
          </w:p>
        </w:tc>
      </w:tr>
      <w:tr w:rsidR="005F10BA">
        <w:tc>
          <w:tcPr>
            <w:tcW w:w="2310" w:type="dxa"/>
          </w:tcPr>
          <w:p w:rsidR="005F10BA" w:rsidRDefault="00D908A4">
            <w:r>
              <w:t>MAGELLAN FIN GRP LTD ORDINARY</w:t>
            </w:r>
          </w:p>
        </w:tc>
        <w:tc>
          <w:tcPr>
            <w:tcW w:w="2310" w:type="dxa"/>
          </w:tcPr>
          <w:p w:rsidR="005F10BA" w:rsidRDefault="00D908A4">
            <w:r>
              <w:t>Financials</w:t>
            </w:r>
          </w:p>
        </w:tc>
      </w:tr>
      <w:tr w:rsidR="005F10BA">
        <w:tc>
          <w:tcPr>
            <w:tcW w:w="2310" w:type="dxa"/>
          </w:tcPr>
          <w:p w:rsidR="005F10BA" w:rsidRDefault="00D908A4">
            <w:r>
              <w:t>FORTESCUE METALS GRP ORDINARY</w:t>
            </w:r>
          </w:p>
        </w:tc>
        <w:tc>
          <w:tcPr>
            <w:tcW w:w="2310" w:type="dxa"/>
          </w:tcPr>
          <w:p w:rsidR="005F10BA" w:rsidRDefault="00D908A4">
            <w:r>
              <w:t>Materials</w:t>
            </w:r>
          </w:p>
        </w:tc>
      </w:tr>
      <w:tr w:rsidR="005F10BA">
        <w:tc>
          <w:tcPr>
            <w:tcW w:w="2310" w:type="dxa"/>
          </w:tcPr>
          <w:p w:rsidR="005F10BA" w:rsidRDefault="00D908A4">
            <w:r>
              <w:t>LYNAS RARE EARTHS ORDINARY</w:t>
            </w:r>
          </w:p>
        </w:tc>
        <w:tc>
          <w:tcPr>
            <w:tcW w:w="2310" w:type="dxa"/>
          </w:tcPr>
          <w:p w:rsidR="005F10BA" w:rsidRDefault="00D908A4">
            <w:r>
              <w:t>Materials</w:t>
            </w:r>
          </w:p>
        </w:tc>
      </w:tr>
      <w:tr w:rsidR="005F10BA">
        <w:tc>
          <w:tcPr>
            <w:tcW w:w="2310" w:type="dxa"/>
          </w:tcPr>
          <w:p w:rsidR="005F10BA" w:rsidRDefault="00D908A4">
            <w:r>
              <w:t>TELSTRA CORPORATION. ORDINARY</w:t>
            </w:r>
          </w:p>
        </w:tc>
        <w:tc>
          <w:tcPr>
            <w:tcW w:w="2310" w:type="dxa"/>
          </w:tcPr>
          <w:p w:rsidR="005F10BA" w:rsidRDefault="00D908A4">
            <w:r>
              <w:t>Communication Services</w:t>
            </w:r>
          </w:p>
        </w:tc>
      </w:tr>
    </w:tbl>
    <w:p w:rsidR="008833C7" w:rsidRDefault="008833C7" w:rsidP="008F3B18">
      <w:pPr>
        <w:pStyle w:val="Heading2"/>
        <w:spacing w:before="120" w:after="60"/>
      </w:pPr>
    </w:p>
    <w:p w:rsidR="008D5309" w:rsidRPr="000578E2" w:rsidRDefault="000A2C55" w:rsidP="008F3B18">
      <w:pPr>
        <w:pStyle w:val="Heading2"/>
        <w:spacing w:before="120" w:after="60"/>
      </w:pPr>
      <w:r w:rsidRPr="000578E2">
        <w:t>Market Outlook</w:t>
      </w:r>
    </w:p>
    <w:p w:rsidR="00D908A4" w:rsidRDefault="00D908A4" w:rsidP="00D908A4">
      <w:pPr>
        <w:spacing w:before="120"/>
        <w:jc w:val="both"/>
        <w:rPr>
          <w:rFonts w:eastAsia="Hiragino Kaku Gothic Pro W6" w:cs="Segoe UI"/>
        </w:rPr>
      </w:pPr>
      <w:r>
        <w:rPr>
          <w:rFonts w:eastAsia="Hiragino Kaku Gothic Pro W6" w:cs="Segoe UI"/>
        </w:rPr>
        <w:t xml:space="preserve">The market is close to some form of peak. We have geo-political concerns emerging with China threatening Taiwan, and Russia threatening to invade Ukraine. We have supply constraints pushing up </w:t>
      </w:r>
      <w:proofErr w:type="spellStart"/>
      <w:r>
        <w:rPr>
          <w:rFonts w:eastAsia="Hiragino Kaku Gothic Pro W6" w:cs="Segoe UI"/>
        </w:rPr>
        <w:t>up</w:t>
      </w:r>
      <w:proofErr w:type="spellEnd"/>
      <w:r>
        <w:rPr>
          <w:rFonts w:eastAsia="Hiragino Kaku Gothic Pro W6" w:cs="Segoe UI"/>
        </w:rPr>
        <w:t xml:space="preserve"> materials prices and the disruptions of </w:t>
      </w:r>
      <w:proofErr w:type="spellStart"/>
      <w:r>
        <w:rPr>
          <w:rFonts w:eastAsia="Hiragino Kaku Gothic Pro W6" w:cs="Segoe UI"/>
        </w:rPr>
        <w:t>covid</w:t>
      </w:r>
      <w:proofErr w:type="spellEnd"/>
      <w:r>
        <w:rPr>
          <w:rFonts w:eastAsia="Hiragino Kaku Gothic Pro W6" w:cs="Segoe UI"/>
        </w:rPr>
        <w:t xml:space="preserve"> have also created a problem in meeting demand for even basic containers. </w:t>
      </w:r>
    </w:p>
    <w:p w:rsidR="00D908A4" w:rsidRDefault="00D908A4" w:rsidP="00D908A4">
      <w:pPr>
        <w:spacing w:before="120"/>
        <w:jc w:val="both"/>
        <w:rPr>
          <w:rFonts w:eastAsia="Hiragino Kaku Gothic Pro W6" w:cs="Segoe UI"/>
        </w:rPr>
      </w:pPr>
      <w:r>
        <w:rPr>
          <w:rFonts w:eastAsia="Hiragino Kaku Gothic Pro W6" w:cs="Segoe UI"/>
        </w:rPr>
        <w:t xml:space="preserve">As a consequence measured inflation is at 40 year highs, and </w:t>
      </w:r>
      <w:proofErr w:type="gramStart"/>
      <w:r>
        <w:rPr>
          <w:rFonts w:eastAsia="Hiragino Kaku Gothic Pro W6" w:cs="Segoe UI"/>
        </w:rPr>
        <w:t>its</w:t>
      </w:r>
      <w:proofErr w:type="gramEnd"/>
      <w:r>
        <w:rPr>
          <w:rFonts w:eastAsia="Hiragino Kaku Gothic Pro W6" w:cs="Segoe UI"/>
        </w:rPr>
        <w:t xml:space="preserve"> very hard to continue arguing that this is transitory.</w:t>
      </w:r>
    </w:p>
    <w:p w:rsidR="00D908A4" w:rsidRDefault="00D908A4" w:rsidP="00D908A4">
      <w:pPr>
        <w:spacing w:before="120"/>
        <w:jc w:val="both"/>
        <w:rPr>
          <w:rFonts w:eastAsia="Hiragino Kaku Gothic Pro W6" w:cs="Segoe UI"/>
        </w:rPr>
      </w:pPr>
      <w:r>
        <w:rPr>
          <w:rFonts w:eastAsia="Hiragino Kaku Gothic Pro W6" w:cs="Segoe UI"/>
        </w:rPr>
        <w:t>At some point rising interest rate yields will create a wake up call for equity values, particularly for the premium priced high technology area.</w:t>
      </w:r>
    </w:p>
    <w:p w:rsidR="00D908A4" w:rsidRDefault="00D908A4" w:rsidP="00D908A4">
      <w:pPr>
        <w:spacing w:before="120"/>
        <w:jc w:val="both"/>
        <w:rPr>
          <w:rFonts w:eastAsia="Hiragino Kaku Gothic Pro W6" w:cs="Segoe UI"/>
        </w:rPr>
      </w:pPr>
      <w:r>
        <w:rPr>
          <w:rFonts w:eastAsia="Hiragino Kaku Gothic Pro W6" w:cs="Segoe UI"/>
        </w:rPr>
        <w:t>That said</w:t>
      </w:r>
      <w:proofErr w:type="gramStart"/>
      <w:r>
        <w:rPr>
          <w:rFonts w:eastAsia="Hiragino Kaku Gothic Pro W6" w:cs="Segoe UI"/>
        </w:rPr>
        <w:t>,</w:t>
      </w:r>
      <w:proofErr w:type="gramEnd"/>
      <w:r>
        <w:rPr>
          <w:rFonts w:eastAsia="Hiragino Kaku Gothic Pro W6" w:cs="Segoe UI"/>
        </w:rPr>
        <w:t xml:space="preserve"> world demand growth is likely to be buoyant once the constraints of </w:t>
      </w:r>
      <w:proofErr w:type="spellStart"/>
      <w:r>
        <w:rPr>
          <w:rFonts w:eastAsia="Hiragino Kaku Gothic Pro W6" w:cs="Segoe UI"/>
        </w:rPr>
        <w:t>covid</w:t>
      </w:r>
      <w:proofErr w:type="spellEnd"/>
      <w:r>
        <w:rPr>
          <w:rFonts w:eastAsia="Hiragino Kaku Gothic Pro W6" w:cs="Segoe UI"/>
        </w:rPr>
        <w:t xml:space="preserve"> ease, as they will this coming quarter. </w:t>
      </w:r>
    </w:p>
    <w:p w:rsidR="00D908A4" w:rsidRDefault="00D908A4" w:rsidP="00D908A4">
      <w:pPr>
        <w:spacing w:before="120"/>
        <w:jc w:val="both"/>
        <w:rPr>
          <w:rFonts w:eastAsia="Hiragino Kaku Gothic Pro W6" w:cs="Segoe UI"/>
        </w:rPr>
      </w:pPr>
      <w:r>
        <w:rPr>
          <w:rFonts w:eastAsia="Hiragino Kaku Gothic Pro W6" w:cs="Segoe UI"/>
        </w:rPr>
        <w:t>It makes for a very difficult market environment to judge. We expect value stocks, gold, gold producers, basic commodity stocks and banks to fare relatively well in what could be a difficult quarter.</w:t>
      </w:r>
    </w:p>
    <w:p w:rsidR="00D908A4" w:rsidRDefault="00D908A4" w:rsidP="00D908A4">
      <w:pPr>
        <w:spacing w:before="120"/>
        <w:jc w:val="both"/>
        <w:rPr>
          <w:rFonts w:eastAsia="Hiragino Kaku Gothic Pro W6" w:cs="Segoe UI"/>
        </w:rPr>
      </w:pPr>
    </w:p>
    <w:p w:rsidR="00D908A4" w:rsidRPr="00D908A4" w:rsidRDefault="00D908A4" w:rsidP="00D908A4">
      <w:pPr>
        <w:spacing w:before="120"/>
        <w:jc w:val="both"/>
        <w:rPr>
          <w:rFonts w:eastAsia="Hiragino Kaku Gothic Pro W6" w:cs="Segoe UI"/>
        </w:rPr>
        <w:sectPr w:rsidR="00D908A4" w:rsidRPr="00D908A4" w:rsidSect="00334718">
          <w:type w:val="continuous"/>
          <w:pgSz w:w="11900" w:h="16840"/>
          <w:pgMar w:top="1440" w:right="1410" w:bottom="1440" w:left="1276" w:header="708" w:footer="708" w:gutter="0"/>
          <w:cols w:space="708"/>
        </w:sectPr>
      </w:pPr>
    </w:p>
    <w:p w:rsidR="00FA00EF" w:rsidRPr="000578E2" w:rsidRDefault="00FA00EF" w:rsidP="004E1B71">
      <w:pPr>
        <w:pStyle w:val="Heading2"/>
        <w:rPr>
          <w:sz w:val="44"/>
        </w:rPr>
      </w:pPr>
      <w:r w:rsidRPr="000578E2">
        <w:rPr>
          <w:sz w:val="44"/>
        </w:rPr>
        <w:lastRenderedPageBreak/>
        <w:t>IMPORTANT INFORMATION</w:t>
      </w:r>
    </w:p>
    <w:p w:rsidR="00FA00EF" w:rsidRPr="000578E2" w:rsidRDefault="00FA00EF" w:rsidP="007D418F"/>
    <w:p w:rsidR="00FA00EF" w:rsidRPr="00BF13DF" w:rsidRDefault="00FA00EF" w:rsidP="000517C1">
      <w:pPr>
        <w:autoSpaceDE w:val="0"/>
        <w:autoSpaceDN w:val="0"/>
        <w:adjustRightInd w:val="0"/>
        <w:spacing w:after="0" w:line="240" w:lineRule="auto"/>
        <w:rPr>
          <w:rFonts w:cs="Arial Narrow"/>
          <w:b/>
          <w:bCs/>
          <w:sz w:val="20"/>
          <w:szCs w:val="20"/>
        </w:rPr>
      </w:pPr>
    </w:p>
    <w:p w:rsidR="00FA00EF" w:rsidRPr="00BF13DF" w:rsidRDefault="00FA00EF" w:rsidP="000517C1">
      <w:pPr>
        <w:widowControl w:val="0"/>
        <w:autoSpaceDE w:val="0"/>
        <w:autoSpaceDN w:val="0"/>
        <w:adjustRightInd w:val="0"/>
        <w:snapToGrid w:val="0"/>
        <w:spacing w:after="120" w:line="240" w:lineRule="auto"/>
        <w:jc w:val="both"/>
        <w:rPr>
          <w:rFonts w:cs="GillSans Light"/>
          <w:color w:val="000000"/>
          <w:sz w:val="20"/>
          <w:szCs w:val="20"/>
        </w:rPr>
        <w:sectPr w:rsidR="00FA00EF" w:rsidRPr="00BF13DF" w:rsidSect="009A2283">
          <w:pgSz w:w="11900" w:h="16840"/>
          <w:pgMar w:top="1440" w:right="1410" w:bottom="1440" w:left="1276" w:header="708" w:footer="708" w:gutter="0"/>
          <w:cols w:space="708"/>
        </w:sectPr>
      </w:pPr>
    </w:p>
    <w:p w:rsidR="00BF13DF" w:rsidRPr="00BF13DF" w:rsidRDefault="00BF13DF" w:rsidP="00BF13DF">
      <w:pPr>
        <w:rPr>
          <w:sz w:val="20"/>
          <w:szCs w:val="20"/>
        </w:rPr>
      </w:pPr>
      <w:r w:rsidRPr="00BF13DF">
        <w:rPr>
          <w:sz w:val="20"/>
          <w:szCs w:val="20"/>
        </w:rPr>
        <w:lastRenderedPageBreak/>
        <w:t>Prepared by HUB24 Custodial Services Ltd (ABN 94 073 633 664, AFS licence No. 239 122) ("the Operator” of HUB24 Invest (the Service)) and (("the Promo</w:t>
      </w:r>
      <w:r w:rsidR="00366F8F">
        <w:rPr>
          <w:sz w:val="20"/>
          <w:szCs w:val="20"/>
        </w:rPr>
        <w:t>ter” of HUB24 Super (the Fund))</w:t>
      </w:r>
      <w:r w:rsidRPr="00BF13DF">
        <w:rPr>
          <w:sz w:val="20"/>
          <w:szCs w:val="20"/>
        </w:rPr>
        <w:t>". The information contained in this document is not intended to be a definitive statement on the subject matter nor an endorsement that this Portfolio is appropriate for you and should not be relied upon in making a decision to invest in this Service</w:t>
      </w:r>
      <w:r w:rsidR="00366F8F">
        <w:rPr>
          <w:sz w:val="20"/>
          <w:szCs w:val="20"/>
        </w:rPr>
        <w:t xml:space="preserve"> or Fund</w:t>
      </w:r>
      <w:r w:rsidRPr="00BF13DF">
        <w:rPr>
          <w:sz w:val="20"/>
          <w:szCs w:val="20"/>
        </w:rPr>
        <w:t xml:space="preserve">. </w:t>
      </w:r>
    </w:p>
    <w:p w:rsidR="008D5309" w:rsidRPr="00BF13DF" w:rsidRDefault="008D5309" w:rsidP="008D5309">
      <w:pPr>
        <w:widowControl w:val="0"/>
        <w:autoSpaceDE w:val="0"/>
        <w:autoSpaceDN w:val="0"/>
        <w:adjustRightInd w:val="0"/>
        <w:snapToGrid w:val="0"/>
        <w:spacing w:after="0" w:line="240" w:lineRule="auto"/>
        <w:rPr>
          <w:sz w:val="20"/>
          <w:szCs w:val="20"/>
        </w:rPr>
      </w:pPr>
    </w:p>
    <w:p w:rsidR="00D16B2C" w:rsidRPr="000578E2" w:rsidRDefault="00D16B2C" w:rsidP="00D16B2C">
      <w:pPr>
        <w:spacing w:after="0"/>
        <w:rPr>
          <w:sz w:val="20"/>
          <w:szCs w:val="20"/>
          <w:lang w:val="en-US"/>
        </w:rPr>
      </w:pPr>
      <w:proofErr w:type="gramStart"/>
      <w:r w:rsidRPr="000578E2">
        <w:rPr>
          <w:sz w:val="20"/>
          <w:szCs w:val="20"/>
          <w:lang w:val="en-US"/>
        </w:rPr>
        <w:t xml:space="preserve">Financial commentary contained within this report is provided by </w:t>
      </w:r>
      <w:r>
        <w:rPr>
          <w:sz w:val="20"/>
          <w:szCs w:val="20"/>
          <w:lang w:val="en-US"/>
        </w:rPr>
        <w:t>Aldersley Capital Pty Ltd</w:t>
      </w:r>
      <w:proofErr w:type="gramEnd"/>
      <w:r w:rsidR="00073D80" w:rsidRPr="000578E2">
        <w:rPr>
          <w:sz w:val="20"/>
          <w:szCs w:val="20"/>
          <w:lang w:val="en-US"/>
        </w:rPr>
        <w:t xml:space="preserve"> (</w:t>
      </w:r>
      <w:r>
        <w:rPr>
          <w:sz w:val="20"/>
          <w:szCs w:val="20"/>
          <w:lang w:val="en-US"/>
        </w:rPr>
        <w:t xml:space="preserve">ABN 14 002 972 901) a corporate </w:t>
      </w:r>
      <w:proofErr w:type="spellStart"/>
      <w:r>
        <w:rPr>
          <w:sz w:val="20"/>
          <w:szCs w:val="20"/>
          <w:lang w:val="en-US"/>
        </w:rPr>
        <w:t>authorised</w:t>
      </w:r>
      <w:proofErr w:type="spellEnd"/>
      <w:r>
        <w:rPr>
          <w:sz w:val="20"/>
          <w:szCs w:val="20"/>
          <w:lang w:val="en-US"/>
        </w:rPr>
        <w:t xml:space="preserve"> representative (No. 420193) of </w:t>
      </w:r>
      <w:proofErr w:type="spellStart"/>
      <w:r>
        <w:rPr>
          <w:sz w:val="20"/>
          <w:szCs w:val="20"/>
          <w:lang w:val="en-US"/>
        </w:rPr>
        <w:t>Andika</w:t>
      </w:r>
      <w:proofErr w:type="spellEnd"/>
      <w:r>
        <w:rPr>
          <w:sz w:val="20"/>
          <w:szCs w:val="20"/>
          <w:lang w:val="en-US"/>
        </w:rPr>
        <w:t xml:space="preserve"> Pty Ltd (ABN 41 117 403 326 and AFSL 297069</w:t>
      </w:r>
      <w:r w:rsidR="00073D80" w:rsidRPr="000578E2">
        <w:rPr>
          <w:sz w:val="20"/>
          <w:szCs w:val="20"/>
          <w:lang w:val="en-US"/>
        </w:rPr>
        <w:t>)</w:t>
      </w:r>
      <w:r w:rsidRPr="000578E2">
        <w:rPr>
          <w:sz w:val="20"/>
          <w:szCs w:val="20"/>
          <w:lang w:val="en-US"/>
        </w:rPr>
        <w:t>, who is the Portfolio Manager of this Portfolio.</w:t>
      </w:r>
    </w:p>
    <w:p w:rsidR="008D5309" w:rsidRPr="000578E2" w:rsidRDefault="008D5309" w:rsidP="008D5309">
      <w:pPr>
        <w:widowControl w:val="0"/>
        <w:autoSpaceDE w:val="0"/>
        <w:autoSpaceDN w:val="0"/>
        <w:adjustRightInd w:val="0"/>
        <w:snapToGrid w:val="0"/>
        <w:spacing w:after="0" w:line="240" w:lineRule="auto"/>
        <w:rPr>
          <w:sz w:val="20"/>
          <w:szCs w:val="20"/>
        </w:rPr>
      </w:pPr>
    </w:p>
    <w:p w:rsidR="00BF13DF" w:rsidRPr="00BF13DF" w:rsidRDefault="00BF13DF" w:rsidP="00BF13DF">
      <w:pPr>
        <w:rPr>
          <w:rFonts w:cstheme="minorBidi"/>
          <w:sz w:val="20"/>
          <w:szCs w:val="20"/>
        </w:rPr>
      </w:pPr>
      <w:r w:rsidRPr="00BF13DF">
        <w:rPr>
          <w:sz w:val="20"/>
          <w:szCs w:val="20"/>
        </w:rPr>
        <w:t xml:space="preserve">The information in this report is general information only and does not take into account your individual objectives, financial situation, needs or circumstances. No representations or warranties express or </w:t>
      </w:r>
      <w:proofErr w:type="gramStart"/>
      <w:r w:rsidRPr="00BF13DF">
        <w:rPr>
          <w:sz w:val="20"/>
          <w:szCs w:val="20"/>
        </w:rPr>
        <w:t>implied,</w:t>
      </w:r>
      <w:proofErr w:type="gramEnd"/>
      <w:r w:rsidRPr="00BF13DF">
        <w:rPr>
          <w:sz w:val="20"/>
          <w:szCs w:val="20"/>
        </w:rPr>
        <w:t xml:space="preserve">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w:t>
      </w:r>
      <w:proofErr w:type="gramStart"/>
      <w:r w:rsidRPr="00BF13DF">
        <w:rPr>
          <w:sz w:val="20"/>
          <w:szCs w:val="20"/>
        </w:rPr>
        <w:t>neither HUB24 or its directors, employees or agents</w:t>
      </w:r>
      <w:proofErr w:type="gramEnd"/>
      <w:r w:rsidRPr="00BF13DF">
        <w:rPr>
          <w:sz w:val="20"/>
          <w:szCs w:val="20"/>
        </w:rPr>
        <w:t xml:space="preserve"> accept any liability for any loss arising in relation to this report</w:t>
      </w:r>
      <w:r w:rsidRPr="00BF13DF">
        <w:rPr>
          <w:rFonts w:cstheme="minorBidi"/>
          <w:sz w:val="20"/>
          <w:szCs w:val="20"/>
        </w:rPr>
        <w:t xml:space="preserve">. </w:t>
      </w:r>
    </w:p>
    <w:p w:rsidR="00B04DA9" w:rsidRDefault="00B04DA9"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lastRenderedPageBreak/>
        <w:t xml:space="preserve">The suitability of the Service or Fund to your needs and the suitability of a particular Investment Choice </w:t>
      </w:r>
      <w:proofErr w:type="gramStart"/>
      <w:r w:rsidRPr="00BF13DF">
        <w:rPr>
          <w:sz w:val="20"/>
          <w:szCs w:val="20"/>
        </w:rPr>
        <w:t>depends</w:t>
      </w:r>
      <w:proofErr w:type="gramEnd"/>
      <w:r w:rsidRPr="00BF13DF">
        <w:rPr>
          <w:sz w:val="20"/>
          <w:szCs w:val="20"/>
        </w:rPr>
        <w:t xml:space="preserve"> on your individual circumstances and objectives and should be discussed with your Adviser. Potential investors must read the FSG and IDPS Guide and/or Super PDS along with any accompanying materials.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Past performance of financial products is not a reliable indicator of future performa</w:t>
      </w:r>
      <w:r w:rsidR="00366F8F">
        <w:rPr>
          <w:sz w:val="20"/>
          <w:szCs w:val="20"/>
        </w:rPr>
        <w:t xml:space="preserve">nce.  HUB24 and the Trustee do not assure </w:t>
      </w:r>
      <w:r w:rsidRPr="00BF13DF">
        <w:rPr>
          <w:sz w:val="20"/>
          <w:szCs w:val="20"/>
        </w:rPr>
        <w:t xml:space="preserve">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HUB24, its associates and their respective directors and other staff each declare that they may, from time to time, hold interests in Securities that ar</w:t>
      </w:r>
      <w:r w:rsidR="00366F8F">
        <w:rPr>
          <w:sz w:val="20"/>
          <w:szCs w:val="20"/>
        </w:rPr>
        <w:t xml:space="preserve">e contained in this Service </w:t>
      </w:r>
      <w:r w:rsidRPr="00BF13DF">
        <w:rPr>
          <w:sz w:val="20"/>
          <w:szCs w:val="20"/>
        </w:rPr>
        <w:t>or Fund.</w:t>
      </w:r>
    </w:p>
    <w:p w:rsidR="008D5309" w:rsidRPr="008D5309" w:rsidRDefault="008D5309" w:rsidP="008D5309">
      <w:pPr>
        <w:widowControl w:val="0"/>
        <w:autoSpaceDE w:val="0"/>
        <w:autoSpaceDN w:val="0"/>
        <w:adjustRightInd w:val="0"/>
        <w:snapToGrid w:val="0"/>
        <w:spacing w:after="0" w:line="240" w:lineRule="auto"/>
        <w:rPr>
          <w:sz w:val="20"/>
          <w:szCs w:val="20"/>
        </w:rPr>
      </w:pPr>
    </w:p>
    <w:p w:rsidR="008D5309" w:rsidRPr="004E1B71" w:rsidRDefault="008D5309" w:rsidP="000517C1">
      <w:pPr>
        <w:widowControl w:val="0"/>
        <w:autoSpaceDE w:val="0"/>
        <w:autoSpaceDN w:val="0"/>
        <w:adjustRightInd w:val="0"/>
        <w:snapToGrid w:val="0"/>
        <w:spacing w:after="0" w:line="240" w:lineRule="auto"/>
        <w:rPr>
          <w:rFonts w:cs="GillSans Light"/>
          <w:sz w:val="20"/>
          <w:szCs w:val="18"/>
        </w:rPr>
      </w:pPr>
    </w:p>
    <w:p w:rsidR="00FA00EF" w:rsidRDefault="00FA00EF" w:rsidP="00EB437E">
      <w:pPr>
        <w:sectPr w:rsidR="00FA00EF" w:rsidSect="009A2283">
          <w:type w:val="continuous"/>
          <w:pgSz w:w="11900" w:h="16840"/>
          <w:pgMar w:top="1440" w:right="1410" w:bottom="1440" w:left="1276" w:header="708" w:footer="708" w:gutter="0"/>
          <w:cols w:num="2" w:space="708"/>
        </w:sectPr>
      </w:pPr>
    </w:p>
    <w:p w:rsidR="00FA00EF" w:rsidRPr="00EB437E" w:rsidRDefault="00FA00EF" w:rsidP="00EB437E"/>
    <w:sectPr w:rsidR="00FA00EF" w:rsidRPr="00EB437E" w:rsidSect="009A2283">
      <w:type w:val="continuous"/>
      <w:pgSz w:w="11900" w:h="16840"/>
      <w:pgMar w:top="1440" w:right="1410" w:bottom="1440" w:left="1276"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8A4" w:rsidRDefault="00D908A4">
      <w:pPr>
        <w:spacing w:after="0" w:line="240" w:lineRule="auto"/>
      </w:pPr>
      <w:r>
        <w:separator/>
      </w:r>
    </w:p>
  </w:endnote>
  <w:endnote w:type="continuationSeparator" w:id="0">
    <w:p w:rsidR="00D908A4" w:rsidRDefault="00D9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Hiragino Kaku Gothic Pro W6">
    <w:charset w:val="80"/>
    <w:family w:val="swiss"/>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yriad Pro">
    <w:panose1 w:val="020B050303040302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8A4" w:rsidRDefault="00D908A4"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08A4" w:rsidRDefault="00D908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8A4" w:rsidRDefault="00D908A4"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623">
      <w:rPr>
        <w:rStyle w:val="PageNumber"/>
        <w:noProof/>
      </w:rPr>
      <w:t>2</w:t>
    </w:r>
    <w:r>
      <w:rPr>
        <w:rStyle w:val="PageNumber"/>
      </w:rPr>
      <w:fldChar w:fldCharType="end"/>
    </w:r>
  </w:p>
  <w:p w:rsidR="00D908A4" w:rsidRDefault="00D908A4" w:rsidP="007A29C1">
    <w:pPr>
      <w:pStyle w:val="Footer"/>
      <w:jc w:val="center"/>
    </w:pPr>
  </w:p>
  <w:p w:rsidR="00D908A4" w:rsidRDefault="00D908A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8A4" w:rsidRDefault="00D908A4">
      <w:pPr>
        <w:spacing w:after="0" w:line="240" w:lineRule="auto"/>
      </w:pPr>
      <w:r>
        <w:separator/>
      </w:r>
    </w:p>
  </w:footnote>
  <w:footnote w:type="continuationSeparator" w:id="0">
    <w:p w:rsidR="00D908A4" w:rsidRDefault="00D908A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2901A5"/>
    <w:rsid w:val="00001B40"/>
    <w:rsid w:val="00001ED0"/>
    <w:rsid w:val="000025D7"/>
    <w:rsid w:val="0000299E"/>
    <w:rsid w:val="0001455F"/>
    <w:rsid w:val="000220ED"/>
    <w:rsid w:val="0002226B"/>
    <w:rsid w:val="00025F53"/>
    <w:rsid w:val="000319BE"/>
    <w:rsid w:val="000507A6"/>
    <w:rsid w:val="000517C1"/>
    <w:rsid w:val="0005562F"/>
    <w:rsid w:val="000578E2"/>
    <w:rsid w:val="00061828"/>
    <w:rsid w:val="000637DC"/>
    <w:rsid w:val="00073D80"/>
    <w:rsid w:val="00077DB3"/>
    <w:rsid w:val="00090CAA"/>
    <w:rsid w:val="000939CB"/>
    <w:rsid w:val="000A2C55"/>
    <w:rsid w:val="000A6975"/>
    <w:rsid w:val="000B7A46"/>
    <w:rsid w:val="000C667C"/>
    <w:rsid w:val="000D0DF5"/>
    <w:rsid w:val="000D3C30"/>
    <w:rsid w:val="000E71F6"/>
    <w:rsid w:val="000E75EE"/>
    <w:rsid w:val="000F2104"/>
    <w:rsid w:val="000F5F2C"/>
    <w:rsid w:val="00105CC1"/>
    <w:rsid w:val="00121412"/>
    <w:rsid w:val="001231DB"/>
    <w:rsid w:val="00124881"/>
    <w:rsid w:val="00126525"/>
    <w:rsid w:val="0013184D"/>
    <w:rsid w:val="00182271"/>
    <w:rsid w:val="0018386A"/>
    <w:rsid w:val="00197A5A"/>
    <w:rsid w:val="001A0AAF"/>
    <w:rsid w:val="001A3335"/>
    <w:rsid w:val="001A3F41"/>
    <w:rsid w:val="001A591F"/>
    <w:rsid w:val="001B3DFC"/>
    <w:rsid w:val="001C0A71"/>
    <w:rsid w:val="001C3E18"/>
    <w:rsid w:val="001C5E16"/>
    <w:rsid w:val="001C6875"/>
    <w:rsid w:val="001D3DCA"/>
    <w:rsid w:val="001E7EC0"/>
    <w:rsid w:val="001F32CD"/>
    <w:rsid w:val="001F7993"/>
    <w:rsid w:val="0020663F"/>
    <w:rsid w:val="00210965"/>
    <w:rsid w:val="00214160"/>
    <w:rsid w:val="00245887"/>
    <w:rsid w:val="002676E9"/>
    <w:rsid w:val="00272FE7"/>
    <w:rsid w:val="00273BF1"/>
    <w:rsid w:val="002901A5"/>
    <w:rsid w:val="002B3418"/>
    <w:rsid w:val="002B45A3"/>
    <w:rsid w:val="002B5F5E"/>
    <w:rsid w:val="002C51E9"/>
    <w:rsid w:val="002E6CA7"/>
    <w:rsid w:val="002F20A8"/>
    <w:rsid w:val="002F2975"/>
    <w:rsid w:val="002F2CF3"/>
    <w:rsid w:val="00305C6E"/>
    <w:rsid w:val="00312C96"/>
    <w:rsid w:val="00316554"/>
    <w:rsid w:val="0032615D"/>
    <w:rsid w:val="00330263"/>
    <w:rsid w:val="00333429"/>
    <w:rsid w:val="00334718"/>
    <w:rsid w:val="003405D5"/>
    <w:rsid w:val="0034117F"/>
    <w:rsid w:val="00353F12"/>
    <w:rsid w:val="00366F8F"/>
    <w:rsid w:val="00377C13"/>
    <w:rsid w:val="00382DB8"/>
    <w:rsid w:val="003940C6"/>
    <w:rsid w:val="003A347D"/>
    <w:rsid w:val="003C5ED9"/>
    <w:rsid w:val="003D6142"/>
    <w:rsid w:val="003E2A59"/>
    <w:rsid w:val="003E2DBE"/>
    <w:rsid w:val="003E30A4"/>
    <w:rsid w:val="003E3D17"/>
    <w:rsid w:val="00400995"/>
    <w:rsid w:val="0040653D"/>
    <w:rsid w:val="00431F1A"/>
    <w:rsid w:val="004352D0"/>
    <w:rsid w:val="0043779E"/>
    <w:rsid w:val="004530F2"/>
    <w:rsid w:val="004734B1"/>
    <w:rsid w:val="004737FA"/>
    <w:rsid w:val="00480D60"/>
    <w:rsid w:val="00482047"/>
    <w:rsid w:val="00486E96"/>
    <w:rsid w:val="0049739E"/>
    <w:rsid w:val="004A7104"/>
    <w:rsid w:val="004B041A"/>
    <w:rsid w:val="004B1795"/>
    <w:rsid w:val="004B23F9"/>
    <w:rsid w:val="004E1B71"/>
    <w:rsid w:val="004E44B8"/>
    <w:rsid w:val="00502351"/>
    <w:rsid w:val="005176E0"/>
    <w:rsid w:val="005344E2"/>
    <w:rsid w:val="00545522"/>
    <w:rsid w:val="0054745D"/>
    <w:rsid w:val="00550D65"/>
    <w:rsid w:val="00555790"/>
    <w:rsid w:val="005557A7"/>
    <w:rsid w:val="00557B4C"/>
    <w:rsid w:val="00561456"/>
    <w:rsid w:val="0056204C"/>
    <w:rsid w:val="0057054E"/>
    <w:rsid w:val="00570B8C"/>
    <w:rsid w:val="00570D7D"/>
    <w:rsid w:val="00573142"/>
    <w:rsid w:val="00573A65"/>
    <w:rsid w:val="00574482"/>
    <w:rsid w:val="00595C08"/>
    <w:rsid w:val="005A6188"/>
    <w:rsid w:val="005B1651"/>
    <w:rsid w:val="005B257C"/>
    <w:rsid w:val="005C12E0"/>
    <w:rsid w:val="005E006E"/>
    <w:rsid w:val="005E5E28"/>
    <w:rsid w:val="005E60C2"/>
    <w:rsid w:val="005E68C7"/>
    <w:rsid w:val="005E7FDF"/>
    <w:rsid w:val="005F10BA"/>
    <w:rsid w:val="005F3DA2"/>
    <w:rsid w:val="0060001B"/>
    <w:rsid w:val="00617EAC"/>
    <w:rsid w:val="006200B2"/>
    <w:rsid w:val="00627CC2"/>
    <w:rsid w:val="00633126"/>
    <w:rsid w:val="00647DAB"/>
    <w:rsid w:val="006549D7"/>
    <w:rsid w:val="0066154A"/>
    <w:rsid w:val="00663FE7"/>
    <w:rsid w:val="006708AD"/>
    <w:rsid w:val="0067180A"/>
    <w:rsid w:val="006779B6"/>
    <w:rsid w:val="00686699"/>
    <w:rsid w:val="006C7527"/>
    <w:rsid w:val="006D019A"/>
    <w:rsid w:val="006D69FD"/>
    <w:rsid w:val="006E07AB"/>
    <w:rsid w:val="0070025C"/>
    <w:rsid w:val="00707779"/>
    <w:rsid w:val="007170D9"/>
    <w:rsid w:val="00720B1A"/>
    <w:rsid w:val="00740E1B"/>
    <w:rsid w:val="00743487"/>
    <w:rsid w:val="00747FE1"/>
    <w:rsid w:val="0078021D"/>
    <w:rsid w:val="00782989"/>
    <w:rsid w:val="00782C51"/>
    <w:rsid w:val="00786FED"/>
    <w:rsid w:val="007A06FD"/>
    <w:rsid w:val="007A29C1"/>
    <w:rsid w:val="007A3851"/>
    <w:rsid w:val="007B0BA3"/>
    <w:rsid w:val="007C6FB8"/>
    <w:rsid w:val="007D418F"/>
    <w:rsid w:val="007E19E3"/>
    <w:rsid w:val="007E4B77"/>
    <w:rsid w:val="00800086"/>
    <w:rsid w:val="00830CB5"/>
    <w:rsid w:val="00830D3E"/>
    <w:rsid w:val="00866748"/>
    <w:rsid w:val="00867930"/>
    <w:rsid w:val="00877513"/>
    <w:rsid w:val="008833C7"/>
    <w:rsid w:val="00887CF6"/>
    <w:rsid w:val="00890E2A"/>
    <w:rsid w:val="00893A4F"/>
    <w:rsid w:val="00896D01"/>
    <w:rsid w:val="008A4A74"/>
    <w:rsid w:val="008B52DB"/>
    <w:rsid w:val="008B746E"/>
    <w:rsid w:val="008C11F4"/>
    <w:rsid w:val="008C273E"/>
    <w:rsid w:val="008D32BC"/>
    <w:rsid w:val="008D3F80"/>
    <w:rsid w:val="008D4591"/>
    <w:rsid w:val="008D5309"/>
    <w:rsid w:val="008D6C55"/>
    <w:rsid w:val="008E0248"/>
    <w:rsid w:val="008E0FAD"/>
    <w:rsid w:val="008F3B18"/>
    <w:rsid w:val="008F66CD"/>
    <w:rsid w:val="008F67D0"/>
    <w:rsid w:val="0091061D"/>
    <w:rsid w:val="00910F86"/>
    <w:rsid w:val="00916750"/>
    <w:rsid w:val="00922D49"/>
    <w:rsid w:val="00930436"/>
    <w:rsid w:val="00933D57"/>
    <w:rsid w:val="00940173"/>
    <w:rsid w:val="00942102"/>
    <w:rsid w:val="00965060"/>
    <w:rsid w:val="00973E1B"/>
    <w:rsid w:val="009837EB"/>
    <w:rsid w:val="00992EFD"/>
    <w:rsid w:val="0099426C"/>
    <w:rsid w:val="00994879"/>
    <w:rsid w:val="009A2283"/>
    <w:rsid w:val="009B0ED2"/>
    <w:rsid w:val="009C1C03"/>
    <w:rsid w:val="009D60B5"/>
    <w:rsid w:val="009E2567"/>
    <w:rsid w:val="009F4AEF"/>
    <w:rsid w:val="009F61FC"/>
    <w:rsid w:val="009F6885"/>
    <w:rsid w:val="009F7C60"/>
    <w:rsid w:val="00A10544"/>
    <w:rsid w:val="00A132D1"/>
    <w:rsid w:val="00A23B7D"/>
    <w:rsid w:val="00A5391E"/>
    <w:rsid w:val="00A61BEA"/>
    <w:rsid w:val="00A628A3"/>
    <w:rsid w:val="00A72AAE"/>
    <w:rsid w:val="00A75306"/>
    <w:rsid w:val="00A75715"/>
    <w:rsid w:val="00A83853"/>
    <w:rsid w:val="00A83AFB"/>
    <w:rsid w:val="00A949F6"/>
    <w:rsid w:val="00A96812"/>
    <w:rsid w:val="00AA441E"/>
    <w:rsid w:val="00AA4593"/>
    <w:rsid w:val="00AB1971"/>
    <w:rsid w:val="00AC56F1"/>
    <w:rsid w:val="00AE0199"/>
    <w:rsid w:val="00AF25E2"/>
    <w:rsid w:val="00AF5BF0"/>
    <w:rsid w:val="00B04DA9"/>
    <w:rsid w:val="00B10045"/>
    <w:rsid w:val="00B36E40"/>
    <w:rsid w:val="00B4463A"/>
    <w:rsid w:val="00B614B9"/>
    <w:rsid w:val="00B6584F"/>
    <w:rsid w:val="00B67C36"/>
    <w:rsid w:val="00B70D75"/>
    <w:rsid w:val="00B73D36"/>
    <w:rsid w:val="00B97A6B"/>
    <w:rsid w:val="00BA2F7D"/>
    <w:rsid w:val="00BB4840"/>
    <w:rsid w:val="00BD1C00"/>
    <w:rsid w:val="00BF13DF"/>
    <w:rsid w:val="00C20F57"/>
    <w:rsid w:val="00C400A1"/>
    <w:rsid w:val="00C40B4B"/>
    <w:rsid w:val="00C41111"/>
    <w:rsid w:val="00C468E9"/>
    <w:rsid w:val="00C576B2"/>
    <w:rsid w:val="00C64E9B"/>
    <w:rsid w:val="00C652EB"/>
    <w:rsid w:val="00C919CE"/>
    <w:rsid w:val="00C91ECE"/>
    <w:rsid w:val="00C962FB"/>
    <w:rsid w:val="00CA331E"/>
    <w:rsid w:val="00CD7C85"/>
    <w:rsid w:val="00CE001F"/>
    <w:rsid w:val="00CE4E39"/>
    <w:rsid w:val="00CF40EA"/>
    <w:rsid w:val="00CF5A14"/>
    <w:rsid w:val="00D02BD5"/>
    <w:rsid w:val="00D042C6"/>
    <w:rsid w:val="00D16B2C"/>
    <w:rsid w:val="00D20E37"/>
    <w:rsid w:val="00D52BF6"/>
    <w:rsid w:val="00D550CD"/>
    <w:rsid w:val="00D66D3E"/>
    <w:rsid w:val="00D7053D"/>
    <w:rsid w:val="00D752F3"/>
    <w:rsid w:val="00D81623"/>
    <w:rsid w:val="00D87D5D"/>
    <w:rsid w:val="00D908A4"/>
    <w:rsid w:val="00D94200"/>
    <w:rsid w:val="00DC03A2"/>
    <w:rsid w:val="00DC7EC9"/>
    <w:rsid w:val="00DD522C"/>
    <w:rsid w:val="00DF4FEF"/>
    <w:rsid w:val="00DF70EA"/>
    <w:rsid w:val="00E02F2D"/>
    <w:rsid w:val="00E13152"/>
    <w:rsid w:val="00E16255"/>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7C5B"/>
    <w:rsid w:val="00F518A1"/>
    <w:rsid w:val="00F51936"/>
    <w:rsid w:val="00F53566"/>
    <w:rsid w:val="00F727FB"/>
    <w:rsid w:val="00F86FEA"/>
    <w:rsid w:val="00F95F2F"/>
    <w:rsid w:val="00FA00EF"/>
    <w:rsid w:val="00FA0914"/>
    <w:rsid w:val="00FA6749"/>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AEDF-3C4E-4548-A8EC-503E2A72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5455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2022-02-24T04:57:00Z</dcterms:created>
  <dcterms:modified xsi:type="dcterms:W3CDTF">2022-02-24T04:57:00Z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0.61</vt:lpwstr>
  </property>
  <property fmtid="{D5CDD505-2E9C-101B-9397-08002B2CF9AE}" pid="6" name="Portfolio3Month">
    <vt:lpwstr>1.09</vt:lpwstr>
  </property>
  <property fmtid="{D5CDD505-2E9C-101B-9397-08002B2CF9AE}" pid="7" name="Portfolio6Month">
    <vt:lpwstr>-1.63</vt:lpwstr>
  </property>
  <property fmtid="{D5CDD505-2E9C-101B-9397-08002B2CF9AE}" pid="8" name="Portfolio12Month">
    <vt:lpwstr>-6.78</vt:lpwstr>
  </property>
  <property fmtid="{D5CDD505-2E9C-101B-9397-08002B2CF9AE}" pid="9" name="Portfolio3Years">
    <vt:lpwstr>18.61</vt:lpwstr>
  </property>
  <property fmtid="{D5CDD505-2E9C-101B-9397-08002B2CF9AE}" pid="10" name="PortfolioInceptionPa">
    <vt:lpwstr>12.32</vt:lpwstr>
  </property>
  <property fmtid="{D5CDD505-2E9C-101B-9397-08002B2CF9AE}" pid="11" name="Benchmark1Month">
    <vt:lpwstr>2.75</vt:lpwstr>
  </property>
  <property fmtid="{D5CDD505-2E9C-101B-9397-08002B2CF9AE}" pid="12" name="Benchmark3Month">
    <vt:lpwstr>2.09</vt:lpwstr>
  </property>
  <property fmtid="{D5CDD505-2E9C-101B-9397-08002B2CF9AE}" pid="13" name="Benchmark6Month">
    <vt:lpwstr>3.84</vt:lpwstr>
  </property>
  <property fmtid="{D5CDD505-2E9C-101B-9397-08002B2CF9AE}" pid="14" name="Benchmark12Month">
    <vt:lpwstr>17.23</vt:lpwstr>
  </property>
  <property fmtid="{D5CDD505-2E9C-101B-9397-08002B2CF9AE}" pid="15" name="Benchmark3Years">
    <vt:lpwstr>13.61</vt:lpwstr>
  </property>
  <property fmtid="{D5CDD505-2E9C-101B-9397-08002B2CF9AE}" pid="16" name="BenchmarkInceptionPa">
    <vt:lpwstr>8.26</vt:lpwstr>
  </property>
  <property fmtid="{D5CDD505-2E9C-101B-9397-08002B2CF9AE}" pid="17" name="Relative1Month">
    <vt:lpwstr>-2.14</vt:lpwstr>
  </property>
  <property fmtid="{D5CDD505-2E9C-101B-9397-08002B2CF9AE}" pid="18" name="Relative3Month">
    <vt:lpwstr>-1.00</vt:lpwstr>
  </property>
  <property fmtid="{D5CDD505-2E9C-101B-9397-08002B2CF9AE}" pid="19" name="Relative6Month">
    <vt:lpwstr>-5.47</vt:lpwstr>
  </property>
  <property fmtid="{D5CDD505-2E9C-101B-9397-08002B2CF9AE}" pid="20" name="Relative12Month">
    <vt:lpwstr>-24.01</vt:lpwstr>
  </property>
  <property fmtid="{D5CDD505-2E9C-101B-9397-08002B2CF9AE}" pid="21" name="Relative3Years">
    <vt:lpwstr>5.00</vt:lpwstr>
  </property>
  <property fmtid="{D5CDD505-2E9C-101B-9397-08002B2CF9AE}" pid="22" name="RelativeInceptionPa">
    <vt:lpwstr>4.06</vt:lpwstr>
  </property>
</Properties>
</file>