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C6" w:rsidRPr="000578E2" w:rsidRDefault="00960F69" w:rsidP="00D042C6">
      <w:pPr>
        <w:spacing w:after="0"/>
        <w:rPr>
          <w:b/>
          <w:color w:val="595959"/>
          <w:sz w:val="40"/>
        </w:rPr>
      </w:pPr>
      <w:r>
        <w:rPr>
          <w:b/>
          <w:noProof/>
          <w:color w:val="595959"/>
          <w:sz w:val="40"/>
          <w:lang w:val="en-US"/>
        </w:rPr>
        <w:drawing>
          <wp:inline distT="0" distB="0" distL="0" distR="0">
            <wp:extent cx="2667280" cy="10383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67280" cy="1038334"/>
                    </a:xfrm>
                    <a:prstGeom prst="rect">
                      <a:avLst/>
                    </a:prstGeom>
                  </pic:spPr>
                </pic:pic>
              </a:graphicData>
            </a:graphic>
          </wp:inline>
        </w:drawing>
      </w:r>
    </w:p>
    <w:p w:rsidR="00073D80" w:rsidRPr="000578E2" w:rsidRDefault="000A2C55" w:rsidP="00D042C6">
      <w:pPr>
        <w:spacing w:after="0"/>
        <w:rPr>
          <w:b/>
          <w:color w:val="595959"/>
          <w:sz w:val="40"/>
        </w:rPr>
      </w:pPr>
      <w:r>
        <w:rPr>
          <w:b/>
          <w:color w:val="595959"/>
          <w:sz w:val="40"/>
        </w:rPr>
        <w:t>AC Managed Equity Portfolio</w:t>
      </w:r>
    </w:p>
    <w:p w:rsidR="00D042C6" w:rsidRPr="000578E2" w:rsidRDefault="000A2C55" w:rsidP="00D042C6">
      <w:pPr>
        <w:spacing w:after="0"/>
        <w:rPr>
          <w:b/>
          <w:color w:val="595959"/>
          <w:sz w:val="40"/>
        </w:rPr>
      </w:pPr>
      <w:r>
        <w:rPr>
          <w:b/>
          <w:color w:val="595959"/>
          <w:sz w:val="40"/>
        </w:rPr>
        <w:t>September 2021</w:t>
      </w:r>
      <w:r w:rsidR="00D042C6" w:rsidRPr="000578E2">
        <w:rPr>
          <w:b/>
          <w:color w:val="595959"/>
          <w:sz w:val="40"/>
        </w:rPr>
        <w:t xml:space="preserve"> Quarterly Review</w:t>
      </w:r>
    </w:p>
    <w:p w:rsidR="00334718" w:rsidRPr="000578E2" w:rsidRDefault="00334718" w:rsidP="008D5309">
      <w:pPr>
        <w:pStyle w:val="Heading2"/>
        <w:spacing w:before="480"/>
        <w:sectPr w:rsidR="00334718" w:rsidRPr="000578E2" w:rsidSect="009A2283">
          <w:footerReference w:type="even" r:id="rId10"/>
          <w:footerReference w:type="default" r:id="rId11"/>
          <w:type w:val="continuous"/>
          <w:pgSz w:w="11900" w:h="16840"/>
          <w:pgMar w:top="1440" w:right="1410" w:bottom="1440" w:left="1276" w:header="708" w:footer="708" w:gutter="0"/>
          <w:cols w:space="708"/>
        </w:sectPr>
      </w:pPr>
    </w:p>
    <w:p w:rsidR="008F3B18" w:rsidRPr="000578E2" w:rsidRDefault="008F3B18" w:rsidP="008F3B18">
      <w:pPr>
        <w:spacing w:before="120"/>
        <w:jc w:val="both"/>
      </w:pPr>
    </w:p>
    <w:p w:rsidR="00FA00EF" w:rsidRPr="000578E2" w:rsidRDefault="000A2C55" w:rsidP="008F3B18">
      <w:pPr>
        <w:pStyle w:val="Heading2"/>
        <w:spacing w:before="120" w:after="60"/>
      </w:pPr>
      <w:r w:rsidRPr="000578E2">
        <w:t>Portfolio Performance</w:t>
      </w:r>
    </w:p>
    <w:p w:rsidR="00FA00EF" w:rsidRPr="000578E2" w:rsidRDefault="00FA00EF" w:rsidP="008F3B18">
      <w:pPr>
        <w:spacing w:before="120"/>
        <w:ind w:right="-142"/>
        <w:sectPr w:rsidR="00FA00EF" w:rsidRPr="000578E2" w:rsidSect="00334718">
          <w:type w:val="continuous"/>
          <w:pgSz w:w="11900" w:h="16840"/>
          <w:pgMar w:top="1440" w:right="1410" w:bottom="1440" w:left="1276" w:header="708" w:footer="708" w:gutter="0"/>
          <w:cols w:space="708"/>
        </w:sectPr>
      </w:pPr>
    </w:p>
    <w:p w:rsidR="00D16B2C" w:rsidRPr="000578E2" w:rsidRDefault="00D16B2C" w:rsidP="008F3B18">
      <w:pPr>
        <w:spacing w:before="120"/>
        <w:jc w:val="both"/>
        <w:rPr>
          <w:rFonts w:eastAsia="Hiragino Kaku Gothic Pro W6" w:cs="Segoe UI"/>
        </w:rPr>
      </w:pPr>
      <w:r w:rsidRPr="000578E2">
        <w:rPr>
          <w:rFonts w:eastAsia="Hiragino Kaku Gothic Pro W6" w:cs="Segoe UI"/>
        </w:rPr>
        <w:lastRenderedPageBreak/>
        <w:t xml:space="preserve">The </w:t>
      </w:r>
      <w:r>
        <w:rPr>
          <w:rFonts w:eastAsia="Hiragino Kaku Gothic Pro W6" w:cs="Segoe UI"/>
        </w:rPr>
        <w:t>AC Managed Equity Portfolio</w:t>
      </w:r>
      <w:r w:rsidR="00073D80" w:rsidRPr="000578E2">
        <w:rPr>
          <w:rFonts w:eastAsia="Hiragino Kaku Gothic Pro W6" w:cs="Segoe UI"/>
        </w:rPr>
        <w:t xml:space="preserve"> </w:t>
      </w:r>
      <w:r w:rsidRPr="000578E2">
        <w:rPr>
          <w:rFonts w:eastAsia="Hiragino Kaku Gothic Pro W6" w:cs="Segoe UI"/>
        </w:rPr>
        <w:t xml:space="preserve">returned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Portfolio3Month  \* MERGEFORMAT </w:instrText>
      </w:r>
      <w:r w:rsidR="00866748" w:rsidRPr="00720B1A">
        <w:rPr>
          <w:rFonts w:eastAsia="Hiragino Kaku Gothic Pro W6" w:cs="Segoe UI"/>
        </w:rPr>
        <w:fldChar w:fldCharType="separate"/>
      </w:r>
      <w:r w:rsidR="00866748" w:rsidRPr="00720B1A">
        <w:rPr>
          <w:rFonts w:eastAsia="Hiragino Kaku Gothic Pro W6" w:cs="Segoe UI"/>
        </w:rPr>
        <w:t>-2.69</w:t>
      </w:r>
      <w:r w:rsidR="00866748" w:rsidRPr="00720B1A">
        <w:rPr>
          <w:rFonts w:eastAsia="Hiragino Kaku Gothic Pro W6" w:cs="Segoe UI"/>
        </w:rPr>
        <w:fldChar w:fldCharType="end"/>
      </w:r>
      <w:r w:rsidR="00E330B1" w:rsidRPr="00720B1A">
        <w:rPr>
          <w:rFonts w:eastAsia="Hiragino Kaku Gothic Pro W6" w:cs="Segoe UI"/>
        </w:rPr>
        <w:t>%</w:t>
      </w:r>
      <w:r w:rsidR="00930436">
        <w:rPr>
          <w:rFonts w:eastAsia="Hiragino Kaku Gothic Pro W6" w:cs="Segoe UI"/>
        </w:rPr>
        <w:t xml:space="preserve"> compared to the benchmark </w:t>
      </w:r>
      <w:r>
        <w:rPr>
          <w:rFonts w:eastAsia="Hiragino Kaku Gothic Pro W6" w:cs="Segoe UI"/>
        </w:rPr>
        <w:t xml:space="preserve">S&amp;P/ASX 200 (TR) </w:t>
      </w:r>
      <w:r w:rsidRPr="000578E2">
        <w:rPr>
          <w:rFonts w:eastAsia="Hiragino Kaku Gothic Pro W6" w:cs="Segoe UI"/>
        </w:rPr>
        <w:t xml:space="preserve">return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Benchmark3Month  \* MERGEFORMAT </w:instrText>
      </w:r>
      <w:r w:rsidR="00866748" w:rsidRPr="00720B1A">
        <w:rPr>
          <w:rFonts w:eastAsia="Hiragino Kaku Gothic Pro W6" w:cs="Segoe UI"/>
        </w:rPr>
        <w:fldChar w:fldCharType="separate"/>
      </w:r>
      <w:r w:rsidR="00866748" w:rsidRPr="00720B1A">
        <w:rPr>
          <w:rFonts w:eastAsia="Hiragino Kaku Gothic Pro W6" w:cs="Segoe UI"/>
        </w:rPr>
        <w:t>1.71</w:t>
      </w:r>
      <w:r w:rsidR="00866748" w:rsidRPr="00720B1A">
        <w:rPr>
          <w:rFonts w:eastAsia="Hiragino Kaku Gothic Pro W6" w:cs="Segoe UI"/>
        </w:rPr>
        <w:fldChar w:fldCharType="end"/>
      </w:r>
      <w:r w:rsidR="00E330B1" w:rsidRPr="00720B1A">
        <w:rPr>
          <w:rFonts w:eastAsia="Hiragino Kaku Gothic Pro W6" w:cs="Segoe UI"/>
        </w:rPr>
        <w:t>%</w:t>
      </w:r>
      <w:r w:rsidRPr="000578E2">
        <w:rPr>
          <w:rFonts w:eastAsia="Hiragino Kaku Gothic Pro W6" w:cs="Segoe UI"/>
        </w:rPr>
        <w:t xml:space="preserve"> giving a relative performance of </w:t>
      </w:r>
      <w:r w:rsidR="00866748" w:rsidRPr="00720B1A">
        <w:rPr>
          <w:rFonts w:eastAsia="Hiragino Kaku Gothic Pro W6" w:cs="Segoe UI"/>
        </w:rPr>
        <w:fldChar w:fldCharType="begin"/>
      </w:r>
      <w:r w:rsidR="00866748" w:rsidRPr="00720B1A">
        <w:rPr>
          <w:rFonts w:eastAsia="Hiragino Kaku Gothic Pro W6" w:cs="Segoe UI"/>
        </w:rPr>
        <w:instrText xml:space="preserve"> DOCPROPERTY  Relative3Month  \* MERGEFORMAT </w:instrText>
      </w:r>
      <w:r w:rsidR="00866748" w:rsidRPr="00720B1A">
        <w:rPr>
          <w:rFonts w:eastAsia="Hiragino Kaku Gothic Pro W6" w:cs="Segoe UI"/>
        </w:rPr>
        <w:fldChar w:fldCharType="separate"/>
      </w:r>
      <w:r w:rsidR="00866748" w:rsidRPr="00720B1A">
        <w:rPr>
          <w:rFonts w:eastAsia="Hiragino Kaku Gothic Pro W6" w:cs="Segoe UI"/>
        </w:rPr>
        <w:t>-4.40</w:t>
      </w:r>
      <w:r w:rsidR="00866748" w:rsidRPr="00720B1A">
        <w:rPr>
          <w:rFonts w:eastAsia="Hiragino Kaku Gothic Pro W6" w:cs="Segoe UI"/>
        </w:rPr>
        <w:fldChar w:fldCharType="end"/>
      </w:r>
      <w:r w:rsidR="00E330B1" w:rsidRPr="00720B1A">
        <w:rPr>
          <w:rFonts w:eastAsia="Hiragino Kaku Gothic Pro W6" w:cs="Segoe UI"/>
        </w:rPr>
        <w:t>%</w:t>
      </w:r>
      <w:r w:rsidR="000A2C55" w:rsidRPr="000578E2">
        <w:rPr>
          <w:rFonts w:eastAsia="Hiragino Kaku Gothic Pro W6" w:cs="Segoe UI"/>
        </w:rPr>
        <w:t xml:space="preserve"> </w:t>
      </w:r>
      <w:r w:rsidRPr="000578E2">
        <w:rPr>
          <w:rFonts w:eastAsia="Hiragino Kaku Gothic Pro W6" w:cs="Segoe UI"/>
        </w:rPr>
        <w:t>for the period.</w:t>
      </w:r>
      <w:r w:rsidR="00960F69">
        <w:rPr>
          <w:rFonts w:eastAsia="Hiragino Kaku Gothic Pro W6" w:cs="Segoe UI"/>
        </w:rPr>
        <w:t xml:space="preserve"> </w:t>
      </w:r>
    </w:p>
    <w:p w:rsidR="008F3B18" w:rsidRPr="000578E2" w:rsidRDefault="008F3B18" w:rsidP="008F3B18">
      <w:pPr>
        <w:spacing w:before="120"/>
        <w:jc w:val="both"/>
        <w:rPr>
          <w:rFonts w:eastAsia="Hiragino Kaku Gothic Pro W6" w:cs="Segoe UI"/>
        </w:rPr>
      </w:pPr>
    </w:p>
    <w:p w:rsidR="0056204C" w:rsidRPr="000578E2" w:rsidRDefault="0056204C" w:rsidP="0056204C">
      <w:pPr>
        <w:pStyle w:val="Heading2"/>
        <w:spacing w:before="0"/>
        <w:rPr>
          <w:sz w:val="24"/>
          <w:szCs w:val="24"/>
        </w:rPr>
      </w:pPr>
      <w:r w:rsidRPr="000578E2">
        <w:rPr>
          <w:sz w:val="24"/>
          <w:szCs w:val="24"/>
        </w:rPr>
        <w:t xml:space="preserve">Performance to </w:t>
      </w:r>
      <w:r>
        <w:rPr>
          <w:sz w:val="24"/>
          <w:szCs w:val="24"/>
        </w:rPr>
        <w:t>30 September 2021</w:t>
      </w:r>
    </w:p>
    <w:tbl>
      <w:tblPr>
        <w:tblW w:w="9214" w:type="dxa"/>
        <w:tblInd w:w="108" w:type="dxa"/>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Layout w:type="fixed"/>
        <w:tblLook w:val="04A0" w:firstRow="1" w:lastRow="0" w:firstColumn="1" w:lastColumn="0" w:noHBand="0" w:noVBand="1"/>
      </w:tblPr>
      <w:tblGrid>
        <w:gridCol w:w="1329"/>
        <w:gridCol w:w="1365"/>
        <w:gridCol w:w="1275"/>
        <w:gridCol w:w="1276"/>
        <w:gridCol w:w="1276"/>
        <w:gridCol w:w="1276"/>
        <w:gridCol w:w="1417"/>
      </w:tblGrid>
      <w:tr w:rsidR="00334718" w:rsidRPr="000578E2" w:rsidTr="008F3B18">
        <w:trPr>
          <w:trHeight w:val="1021"/>
        </w:trPr>
        <w:tc>
          <w:tcPr>
            <w:tcW w:w="1329"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Return %</w:t>
            </w:r>
          </w:p>
        </w:tc>
        <w:tc>
          <w:tcPr>
            <w:tcW w:w="136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Month</w:t>
            </w:r>
          </w:p>
        </w:tc>
        <w:tc>
          <w:tcPr>
            <w:tcW w:w="1275"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Six Month</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One Year</w:t>
            </w:r>
          </w:p>
        </w:tc>
        <w:tc>
          <w:tcPr>
            <w:tcW w:w="1276"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Three Year</w:t>
            </w:r>
          </w:p>
        </w:tc>
        <w:tc>
          <w:tcPr>
            <w:tcW w:w="1417" w:type="dxa"/>
            <w:tcBorders>
              <w:bottom w:val="single" w:sz="4" w:space="0" w:color="91CFE6"/>
            </w:tcBorders>
            <w:shd w:val="clear" w:color="auto" w:fill="91CFE6"/>
            <w:vAlign w:val="center"/>
          </w:tcPr>
          <w:p w:rsidR="00334718" w:rsidRPr="000578E2" w:rsidRDefault="00334718" w:rsidP="00D52BF6">
            <w:pPr>
              <w:spacing w:after="120"/>
              <w:jc w:val="center"/>
              <w:rPr>
                <w:rFonts w:eastAsia="Hiragino Kaku Gothic Pro W6" w:cs="Segoe UI"/>
                <w:sz w:val="20"/>
                <w:szCs w:val="20"/>
              </w:rPr>
            </w:pPr>
            <w:r w:rsidRPr="000578E2">
              <w:rPr>
                <w:rFonts w:eastAsia="Hiragino Kaku Gothic Pro W6" w:cs="Segoe UI"/>
                <w:sz w:val="20"/>
                <w:szCs w:val="20"/>
              </w:rPr>
              <w:t>Since</w:t>
            </w:r>
            <w:r w:rsidRPr="000578E2">
              <w:rPr>
                <w:rFonts w:eastAsia="Hiragino Kaku Gothic Pro W6" w:cs="Segoe UI"/>
                <w:sz w:val="20"/>
                <w:szCs w:val="20"/>
              </w:rPr>
              <w:br/>
              <w:t>Inception (</w:t>
            </w:r>
            <w:r>
              <w:rPr>
                <w:rFonts w:eastAsia="Hiragino Kaku Gothic Pro W6" w:cs="Segoe UI"/>
                <w:sz w:val="20"/>
                <w:szCs w:val="20"/>
              </w:rPr>
              <w:t>29/10/2013</w:t>
            </w:r>
            <w:r w:rsidRPr="000578E2">
              <w:rPr>
                <w:rFonts w:eastAsia="Hiragino Kaku Gothic Pro W6" w:cs="Segoe UI"/>
                <w:sz w:val="20"/>
                <w:szCs w:val="20"/>
              </w:rPr>
              <w:t>)</w:t>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Portfolio</w:t>
            </w:r>
          </w:p>
        </w:tc>
        <w:tc>
          <w:tcPr>
            <w:tcW w:w="1365" w:type="dxa"/>
            <w:shd w:val="clear" w:color="auto" w:fill="auto"/>
            <w:vAlign w:val="center"/>
          </w:tcPr>
          <w:p w:rsidR="00334718" w:rsidRPr="000578E2" w:rsidRDefault="000939CB"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Portfolio1Month  \* MERGEFORMAT </w:instrText>
            </w:r>
            <w:r w:rsidRPr="000578E2">
              <w:rPr>
                <w:color w:val="000000"/>
                <w:sz w:val="20"/>
                <w:szCs w:val="20"/>
              </w:rPr>
              <w:fldChar w:fldCharType="separate"/>
            </w:r>
            <w:r w:rsidRPr="000578E2">
              <w:rPr>
                <w:color w:val="000000"/>
                <w:sz w:val="20"/>
                <w:szCs w:val="20"/>
              </w:rPr>
              <w:t>-4.89</w:t>
            </w:r>
            <w:r w:rsidRPr="000578E2">
              <w:rPr>
                <w:color w:val="000000"/>
                <w:sz w:val="20"/>
                <w:szCs w:val="20"/>
              </w:rPr>
              <w:fldChar w:fldCharType="end"/>
            </w:r>
          </w:p>
        </w:tc>
        <w:tc>
          <w:tcPr>
            <w:tcW w:w="1275" w:type="dxa"/>
            <w:shd w:val="clear" w:color="auto" w:fill="auto"/>
            <w:vAlign w:val="center"/>
          </w:tcPr>
          <w:p w:rsidR="00334718" w:rsidRPr="000578E2" w:rsidRDefault="00DC7EC9"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Portfolio3Month  \* MERGEFORMAT </w:instrText>
            </w:r>
            <w:r w:rsidRPr="000578E2">
              <w:rPr>
                <w:color w:val="000000"/>
                <w:sz w:val="20"/>
                <w:szCs w:val="20"/>
              </w:rPr>
              <w:fldChar w:fldCharType="separate"/>
            </w:r>
            <w:r w:rsidRPr="000578E2">
              <w:rPr>
                <w:color w:val="000000"/>
                <w:sz w:val="20"/>
                <w:szCs w:val="20"/>
              </w:rPr>
              <w:t>-2.69</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Portfolio6Month  \* MERGEFORMAT </w:instrText>
            </w:r>
            <w:r w:rsidRPr="000578E2">
              <w:rPr>
                <w:color w:val="000000"/>
                <w:sz w:val="20"/>
                <w:szCs w:val="20"/>
              </w:rPr>
              <w:fldChar w:fldCharType="separate"/>
            </w:r>
            <w:r w:rsidRPr="000578E2">
              <w:rPr>
                <w:color w:val="000000"/>
                <w:sz w:val="20"/>
                <w:szCs w:val="20"/>
              </w:rPr>
              <w:t>0.72</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Portfolio12Month  \* MERGEFORMAT </w:instrText>
            </w:r>
            <w:r w:rsidRPr="000578E2">
              <w:rPr>
                <w:color w:val="000000"/>
                <w:sz w:val="20"/>
                <w:szCs w:val="20"/>
              </w:rPr>
              <w:fldChar w:fldCharType="separate"/>
            </w:r>
            <w:r w:rsidRPr="000578E2">
              <w:rPr>
                <w:color w:val="000000"/>
                <w:sz w:val="20"/>
                <w:szCs w:val="20"/>
              </w:rPr>
              <w:t>18.82</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Portfolio3Years  \* MERGEFORMAT </w:instrText>
            </w:r>
            <w:r w:rsidRPr="000578E2">
              <w:rPr>
                <w:color w:val="000000"/>
                <w:sz w:val="20"/>
                <w:szCs w:val="20"/>
              </w:rPr>
              <w:fldChar w:fldCharType="separate"/>
            </w:r>
            <w:r w:rsidRPr="000578E2">
              <w:rPr>
                <w:color w:val="000000"/>
                <w:sz w:val="20"/>
                <w:szCs w:val="20"/>
              </w:rPr>
              <w:t>14.68</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PortfolioInceptionPa  \* MERGEFORMAT </w:instrText>
            </w:r>
            <w:r w:rsidRPr="000578E2">
              <w:rPr>
                <w:color w:val="000000"/>
                <w:sz w:val="20"/>
                <w:szCs w:val="20"/>
              </w:rPr>
              <w:fldChar w:fldCharType="separate"/>
            </w:r>
            <w:r w:rsidRPr="000578E2">
              <w:rPr>
                <w:color w:val="000000"/>
                <w:sz w:val="20"/>
                <w:szCs w:val="20"/>
              </w:rPr>
              <w:t>12.58</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sz w:val="20"/>
                <w:szCs w:val="20"/>
              </w:rPr>
            </w:pPr>
            <w:r w:rsidRPr="000578E2">
              <w:rPr>
                <w:rFonts w:eastAsia="Hiragino Kaku Gothic Pro W6" w:cs="Segoe UI"/>
                <w:sz w:val="20"/>
                <w:szCs w:val="20"/>
              </w:rPr>
              <w:t>Benchmark</w:t>
            </w:r>
          </w:p>
        </w:tc>
        <w:tc>
          <w:tcPr>
            <w:tcW w:w="136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Benchmark1Month  \* MERGEFORMAT </w:instrText>
            </w:r>
            <w:r w:rsidRPr="000578E2">
              <w:rPr>
                <w:color w:val="000000"/>
                <w:sz w:val="20"/>
                <w:szCs w:val="20"/>
              </w:rPr>
              <w:fldChar w:fldCharType="separate"/>
            </w:r>
            <w:r w:rsidRPr="000578E2">
              <w:rPr>
                <w:color w:val="000000"/>
                <w:sz w:val="20"/>
                <w:szCs w:val="20"/>
              </w:rPr>
              <w:t>-1.85</w:t>
            </w:r>
            <w:r w:rsidRPr="000578E2">
              <w:rPr>
                <w:color w:val="000000"/>
                <w:sz w:val="20"/>
                <w:szCs w:val="20"/>
              </w:rPr>
              <w:fldChar w:fldCharType="end"/>
            </w:r>
          </w:p>
        </w:tc>
        <w:tc>
          <w:tcPr>
            <w:tcW w:w="1275"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Benchmark3Month  \* MERGEFORMAT </w:instrText>
            </w:r>
            <w:r w:rsidRPr="000578E2">
              <w:rPr>
                <w:color w:val="000000"/>
                <w:sz w:val="20"/>
                <w:szCs w:val="20"/>
              </w:rPr>
              <w:fldChar w:fldCharType="separate"/>
            </w:r>
            <w:r w:rsidRPr="000578E2">
              <w:rPr>
                <w:color w:val="000000"/>
                <w:sz w:val="20"/>
                <w:szCs w:val="20"/>
              </w:rPr>
              <w:t>1.71</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Benchmark6Month  \* MERGEFORMAT </w:instrText>
            </w:r>
            <w:r w:rsidRPr="000578E2">
              <w:rPr>
                <w:color w:val="000000"/>
                <w:sz w:val="20"/>
                <w:szCs w:val="20"/>
              </w:rPr>
              <w:fldChar w:fldCharType="separate"/>
            </w:r>
            <w:r w:rsidRPr="000578E2">
              <w:rPr>
                <w:color w:val="000000"/>
                <w:sz w:val="20"/>
                <w:szCs w:val="20"/>
              </w:rPr>
              <w:t>10.14</w:t>
            </w:r>
            <w:r w:rsidRPr="000578E2">
              <w:rPr>
                <w:color w:val="000000"/>
                <w:sz w:val="20"/>
                <w:szCs w:val="20"/>
              </w:rPr>
              <w:fldChar w:fldCharType="end"/>
            </w:r>
          </w:p>
        </w:tc>
        <w:tc>
          <w:tcPr>
            <w:tcW w:w="1276" w:type="dxa"/>
            <w:shd w:val="clear" w:color="auto" w:fill="auto"/>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Benchmark12Month  \* MERGEFORMAT </w:instrText>
            </w:r>
            <w:r w:rsidRPr="000578E2">
              <w:rPr>
                <w:color w:val="000000"/>
                <w:sz w:val="20"/>
                <w:szCs w:val="20"/>
              </w:rPr>
              <w:fldChar w:fldCharType="separate"/>
            </w:r>
            <w:r w:rsidRPr="000578E2">
              <w:rPr>
                <w:color w:val="000000"/>
                <w:sz w:val="20"/>
                <w:szCs w:val="20"/>
              </w:rPr>
              <w:t>30.56</w:t>
            </w:r>
            <w:r w:rsidRPr="000578E2">
              <w:rPr>
                <w:color w:val="000000"/>
                <w:sz w:val="20"/>
                <w:szCs w:val="20"/>
              </w:rPr>
              <w:fldChar w:fldCharType="end"/>
            </w:r>
          </w:p>
        </w:tc>
        <w:tc>
          <w:tcPr>
            <w:tcW w:w="1276" w:type="dxa"/>
            <w:vAlign w:val="center"/>
          </w:tcPr>
          <w:p w:rsidR="00334718" w:rsidRPr="000578E2" w:rsidRDefault="00BA2F7D"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Benchmark3Years  \* MERGEFORMAT </w:instrText>
            </w:r>
            <w:r w:rsidRPr="000578E2">
              <w:rPr>
                <w:color w:val="000000"/>
                <w:sz w:val="20"/>
                <w:szCs w:val="20"/>
              </w:rPr>
              <w:fldChar w:fldCharType="separate"/>
            </w:r>
            <w:r w:rsidRPr="000578E2">
              <w:rPr>
                <w:color w:val="000000"/>
                <w:sz w:val="20"/>
                <w:szCs w:val="20"/>
              </w:rPr>
              <w:t>9.64</w:t>
            </w:r>
            <w:r w:rsidRPr="000578E2">
              <w:rPr>
                <w:color w:val="000000"/>
                <w:sz w:val="20"/>
                <w:szCs w:val="20"/>
              </w:rPr>
              <w:fldChar w:fldCharType="end"/>
            </w:r>
          </w:p>
        </w:tc>
        <w:tc>
          <w:tcPr>
            <w:tcW w:w="1417" w:type="dxa"/>
            <w:shd w:val="clear" w:color="auto" w:fill="auto"/>
            <w:vAlign w:val="center"/>
          </w:tcPr>
          <w:p w:rsidR="00334718" w:rsidRPr="000578E2" w:rsidRDefault="004352D0" w:rsidP="0054745D">
            <w:pPr>
              <w:jc w:val="center"/>
              <w:rPr>
                <w:color w:val="000000"/>
                <w:sz w:val="20"/>
                <w:szCs w:val="20"/>
              </w:rPr>
            </w:pPr>
            <w:r w:rsidRPr="000578E2">
              <w:rPr>
                <w:color w:val="000000"/>
                <w:sz w:val="20"/>
                <w:szCs w:val="20"/>
              </w:rPr>
              <w:fldChar w:fldCharType="begin"/>
            </w:r>
            <w:r w:rsidRPr="000578E2">
              <w:rPr>
                <w:color w:val="000000"/>
                <w:sz w:val="20"/>
                <w:szCs w:val="20"/>
              </w:rPr>
              <w:instrText xml:space="preserve"> DOCPROPERTY  BenchmarkInceptionPa  \* MERGEFORMAT </w:instrText>
            </w:r>
            <w:r w:rsidRPr="000578E2">
              <w:rPr>
                <w:color w:val="000000"/>
                <w:sz w:val="20"/>
                <w:szCs w:val="20"/>
              </w:rPr>
              <w:fldChar w:fldCharType="separate"/>
            </w:r>
            <w:r w:rsidRPr="000578E2">
              <w:rPr>
                <w:color w:val="000000"/>
                <w:sz w:val="20"/>
                <w:szCs w:val="20"/>
              </w:rPr>
              <w:t>8.25</w:t>
            </w:r>
            <w:r w:rsidRPr="000578E2">
              <w:rPr>
                <w:color w:val="000000"/>
                <w:sz w:val="20"/>
                <w:szCs w:val="20"/>
              </w:rPr>
              <w:fldChar w:fldCharType="end"/>
            </w:r>
          </w:p>
        </w:tc>
      </w:tr>
      <w:tr w:rsidR="00334718" w:rsidRPr="000578E2" w:rsidTr="00800086">
        <w:tc>
          <w:tcPr>
            <w:tcW w:w="1329" w:type="dxa"/>
            <w:shd w:val="clear" w:color="auto" w:fill="auto"/>
            <w:vAlign w:val="center"/>
          </w:tcPr>
          <w:p w:rsidR="00334718" w:rsidRPr="000578E2" w:rsidRDefault="00334718" w:rsidP="00A96812">
            <w:pPr>
              <w:ind w:left="-113"/>
              <w:jc w:val="center"/>
              <w:rPr>
                <w:rFonts w:eastAsia="Hiragino Kaku Gothic Pro W6" w:cs="Segoe UI"/>
                <w:b/>
                <w:sz w:val="20"/>
                <w:szCs w:val="20"/>
              </w:rPr>
            </w:pPr>
            <w:r w:rsidRPr="000578E2">
              <w:rPr>
                <w:rFonts w:eastAsia="Hiragino Kaku Gothic Pro W6" w:cs="Segoe UI"/>
                <w:b/>
                <w:sz w:val="20"/>
                <w:szCs w:val="20"/>
              </w:rPr>
              <w:t>Relative Performance</w:t>
            </w:r>
          </w:p>
        </w:tc>
        <w:tc>
          <w:tcPr>
            <w:tcW w:w="136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Relative1Month  \* MERGEFORMAT </w:instrText>
            </w:r>
            <w:r w:rsidRPr="000578E2">
              <w:rPr>
                <w:b/>
                <w:color w:val="000000"/>
                <w:sz w:val="20"/>
                <w:szCs w:val="20"/>
              </w:rPr>
              <w:fldChar w:fldCharType="separate"/>
            </w:r>
            <w:r w:rsidRPr="000578E2">
              <w:rPr>
                <w:b/>
                <w:color w:val="000000"/>
                <w:sz w:val="20"/>
                <w:szCs w:val="20"/>
              </w:rPr>
              <w:t>-3.04</w:t>
            </w:r>
            <w:r w:rsidRPr="000578E2">
              <w:rPr>
                <w:b/>
                <w:color w:val="000000"/>
                <w:sz w:val="20"/>
                <w:szCs w:val="20"/>
              </w:rPr>
              <w:fldChar w:fldCharType="end"/>
            </w:r>
          </w:p>
        </w:tc>
        <w:tc>
          <w:tcPr>
            <w:tcW w:w="1275"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Relative3Month  \* MERGEFORMAT </w:instrText>
            </w:r>
            <w:r w:rsidRPr="000578E2">
              <w:rPr>
                <w:b/>
                <w:color w:val="000000"/>
                <w:sz w:val="20"/>
                <w:szCs w:val="20"/>
              </w:rPr>
              <w:fldChar w:fldCharType="separate"/>
            </w:r>
            <w:r w:rsidRPr="000578E2">
              <w:rPr>
                <w:b/>
                <w:color w:val="000000"/>
                <w:sz w:val="20"/>
                <w:szCs w:val="20"/>
              </w:rPr>
              <w:t>-4.40</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Relative6Month  \* MERGEFORMAT </w:instrText>
            </w:r>
            <w:r w:rsidRPr="000578E2">
              <w:rPr>
                <w:b/>
                <w:color w:val="000000"/>
                <w:sz w:val="20"/>
                <w:szCs w:val="20"/>
              </w:rPr>
              <w:fldChar w:fldCharType="separate"/>
            </w:r>
            <w:r w:rsidRPr="000578E2">
              <w:rPr>
                <w:b/>
                <w:color w:val="000000"/>
                <w:sz w:val="20"/>
                <w:szCs w:val="20"/>
              </w:rPr>
              <w:t>-9.42</w:t>
            </w:r>
            <w:r w:rsidRPr="000578E2">
              <w:rPr>
                <w:b/>
                <w:color w:val="000000"/>
                <w:sz w:val="20"/>
                <w:szCs w:val="20"/>
              </w:rPr>
              <w:fldChar w:fldCharType="end"/>
            </w:r>
          </w:p>
        </w:tc>
        <w:tc>
          <w:tcPr>
            <w:tcW w:w="1276"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Relative12Month  \* MERGEFORMAT </w:instrText>
            </w:r>
            <w:r w:rsidRPr="000578E2">
              <w:rPr>
                <w:b/>
                <w:color w:val="000000"/>
                <w:sz w:val="20"/>
                <w:szCs w:val="20"/>
              </w:rPr>
              <w:fldChar w:fldCharType="separate"/>
            </w:r>
            <w:r w:rsidRPr="000578E2">
              <w:rPr>
                <w:b/>
                <w:color w:val="000000"/>
                <w:sz w:val="20"/>
                <w:szCs w:val="20"/>
              </w:rPr>
              <w:t>-11.74</w:t>
            </w:r>
            <w:r w:rsidRPr="000578E2">
              <w:rPr>
                <w:b/>
                <w:color w:val="000000"/>
                <w:sz w:val="20"/>
                <w:szCs w:val="20"/>
              </w:rPr>
              <w:fldChar w:fldCharType="end"/>
            </w:r>
          </w:p>
        </w:tc>
        <w:tc>
          <w:tcPr>
            <w:tcW w:w="1276" w:type="dxa"/>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Relative3Years  \* MERGEFORMAT </w:instrText>
            </w:r>
            <w:r w:rsidRPr="000578E2">
              <w:rPr>
                <w:b/>
                <w:color w:val="000000"/>
                <w:sz w:val="20"/>
                <w:szCs w:val="20"/>
              </w:rPr>
              <w:fldChar w:fldCharType="separate"/>
            </w:r>
            <w:r w:rsidRPr="000578E2">
              <w:rPr>
                <w:b/>
                <w:color w:val="000000"/>
                <w:sz w:val="20"/>
                <w:szCs w:val="20"/>
              </w:rPr>
              <w:t>5.04</w:t>
            </w:r>
            <w:r w:rsidRPr="000578E2">
              <w:rPr>
                <w:b/>
                <w:color w:val="000000"/>
                <w:sz w:val="20"/>
                <w:szCs w:val="20"/>
              </w:rPr>
              <w:fldChar w:fldCharType="end"/>
            </w:r>
          </w:p>
        </w:tc>
        <w:tc>
          <w:tcPr>
            <w:tcW w:w="1417" w:type="dxa"/>
            <w:shd w:val="clear" w:color="auto" w:fill="auto"/>
            <w:vAlign w:val="center"/>
          </w:tcPr>
          <w:p w:rsidR="00334718" w:rsidRPr="000578E2" w:rsidRDefault="004352D0" w:rsidP="0054745D">
            <w:pPr>
              <w:jc w:val="center"/>
              <w:rPr>
                <w:b/>
                <w:color w:val="000000"/>
                <w:sz w:val="20"/>
                <w:szCs w:val="20"/>
              </w:rPr>
            </w:pPr>
            <w:r w:rsidRPr="000578E2">
              <w:rPr>
                <w:b/>
                <w:color w:val="000000"/>
                <w:sz w:val="20"/>
                <w:szCs w:val="20"/>
              </w:rPr>
              <w:fldChar w:fldCharType="begin"/>
            </w:r>
            <w:r w:rsidRPr="000578E2">
              <w:rPr>
                <w:b/>
                <w:color w:val="000000"/>
                <w:sz w:val="20"/>
                <w:szCs w:val="20"/>
              </w:rPr>
              <w:instrText xml:space="preserve"> DOCPROPERTY  RelativeInceptionPa  \* MERGEFORMAT </w:instrText>
            </w:r>
            <w:r w:rsidRPr="000578E2">
              <w:rPr>
                <w:b/>
                <w:color w:val="000000"/>
                <w:sz w:val="20"/>
                <w:szCs w:val="20"/>
              </w:rPr>
              <w:fldChar w:fldCharType="separate"/>
            </w:r>
            <w:r w:rsidRPr="000578E2">
              <w:rPr>
                <w:b/>
                <w:color w:val="000000"/>
                <w:sz w:val="20"/>
                <w:szCs w:val="20"/>
              </w:rPr>
              <w:t>4.33</w:t>
            </w:r>
            <w:r w:rsidRPr="000578E2">
              <w:rPr>
                <w:b/>
                <w:color w:val="000000"/>
                <w:sz w:val="20"/>
                <w:szCs w:val="20"/>
              </w:rPr>
              <w:fldChar w:fldCharType="end"/>
            </w:r>
          </w:p>
        </w:tc>
      </w:tr>
    </w:tbl>
    <w:p w:rsidR="008D5309" w:rsidRPr="000578E2" w:rsidRDefault="008D5309" w:rsidP="008D5309">
      <w:pPr>
        <w:spacing w:after="0"/>
        <w:jc w:val="both"/>
        <w:rPr>
          <w:rFonts w:eastAsia="Hiragino Kaku Gothic Pro W6" w:cs="Segoe UI"/>
          <w:sz w:val="16"/>
          <w:szCs w:val="16"/>
        </w:rPr>
      </w:pPr>
      <w:r w:rsidRPr="000578E2">
        <w:rPr>
          <w:rFonts w:eastAsia="Hiragino Kaku Gothic Pro W6" w:cs="Segoe UI"/>
          <w:sz w:val="16"/>
          <w:szCs w:val="16"/>
        </w:rPr>
        <w:t>The table above sets out the investment performance returns (AFTER investment management fees, but BEFORE administration fees, performance based fees and taxes) for the Portfolio. The performance returns have been calculated on a daily basis taking into account brokerage costs, and are accumulated for the period shown. Returns are shown as annualised if the period is over 1 year, or as total returns otherwise.</w:t>
      </w:r>
    </w:p>
    <w:p w:rsidR="008D5309" w:rsidRPr="000578E2" w:rsidRDefault="000A2C55" w:rsidP="008F3B18">
      <w:pPr>
        <w:pStyle w:val="Heading2"/>
        <w:spacing w:before="120" w:after="60"/>
        <w:rPr>
          <w:rFonts w:eastAsia="Hiragino Kaku Gothic Pro W6" w:cs="Segoe UI"/>
          <w:b w:val="0"/>
          <w:color w:val="1F497D"/>
          <w:sz w:val="24"/>
          <w:szCs w:val="24"/>
        </w:rPr>
      </w:pPr>
      <w:r w:rsidRPr="000578E2">
        <w:t>Quarterly Review</w:t>
      </w:r>
    </w:p>
    <w:p w:rsidR="008D5309" w:rsidRPr="000578E2" w:rsidRDefault="00960F69" w:rsidP="00382DB8">
      <w:pPr>
        <w:spacing w:before="120"/>
        <w:jc w:val="both"/>
        <w:rPr>
          <w:rFonts w:eastAsia="Hiragino Kaku Gothic Pro W6" w:cs="Segoe UI"/>
        </w:rPr>
      </w:pPr>
      <w:r>
        <w:rPr>
          <w:rFonts w:eastAsia="Hiragino Kaku Gothic Pro W6" w:cs="Segoe UI"/>
        </w:rPr>
        <w:t xml:space="preserve">We were again wrong-footed for most of the quarter, our defensive </w:t>
      </w:r>
      <w:proofErr w:type="spellStart"/>
      <w:r>
        <w:rPr>
          <w:rFonts w:eastAsia="Hiragino Kaku Gothic Pro W6" w:cs="Segoe UI"/>
        </w:rPr>
        <w:t>golds</w:t>
      </w:r>
      <w:proofErr w:type="spellEnd"/>
      <w:r>
        <w:rPr>
          <w:rFonts w:eastAsia="Hiragino Kaku Gothic Pro W6" w:cs="Segoe UI"/>
        </w:rPr>
        <w:t xml:space="preserve"> did not help and the correction did not occur.  We continued with this strategy of holding defensives and </w:t>
      </w:r>
      <w:proofErr w:type="spellStart"/>
      <w:r>
        <w:rPr>
          <w:rFonts w:eastAsia="Hiragino Kaku Gothic Pro W6" w:cs="Segoe UI"/>
        </w:rPr>
        <w:t>golds</w:t>
      </w:r>
      <w:proofErr w:type="spellEnd"/>
      <w:r>
        <w:rPr>
          <w:rFonts w:eastAsia="Hiragino Kaku Gothic Pro W6" w:cs="Segoe UI"/>
        </w:rPr>
        <w:t xml:space="preserve">. Some other fund managers, like Magellan, seem to share in our view of irrational exuberance persisting to dominate markets, despite rising inflationary pressures, and political tensions, and its interesting their share price also fell. We topped up on </w:t>
      </w:r>
      <w:proofErr w:type="gramStart"/>
      <w:r>
        <w:rPr>
          <w:rFonts w:eastAsia="Hiragino Kaku Gothic Pro W6" w:cs="Segoe UI"/>
        </w:rPr>
        <w:t>Magellan which</w:t>
      </w:r>
      <w:proofErr w:type="gramEnd"/>
      <w:r>
        <w:rPr>
          <w:rFonts w:eastAsia="Hiragino Kaku Gothic Pro W6" w:cs="Segoe UI"/>
        </w:rPr>
        <w:t xml:space="preserve"> over the years has been a great performer. </w:t>
      </w:r>
    </w:p>
    <w:p w:rsidR="00382DB8" w:rsidRDefault="00382DB8" w:rsidP="00382DB8">
      <w:pPr>
        <w:spacing w:before="120"/>
        <w:jc w:val="both"/>
        <w:rPr>
          <w:rFonts w:eastAsia="Hiragino Kaku Gothic Pro W6" w:cs="Segoe UI"/>
        </w:rPr>
      </w:pPr>
    </w:p>
    <w:p w:rsidR="00960F69" w:rsidRDefault="00960F69" w:rsidP="00382DB8">
      <w:pPr>
        <w:spacing w:before="120"/>
        <w:jc w:val="both"/>
        <w:rPr>
          <w:rFonts w:eastAsia="Hiragino Kaku Gothic Pro W6" w:cs="Segoe UI"/>
        </w:rPr>
      </w:pPr>
    </w:p>
    <w:p w:rsidR="00960F69" w:rsidRDefault="00960F69" w:rsidP="00382DB8">
      <w:pPr>
        <w:spacing w:before="120"/>
        <w:jc w:val="both"/>
        <w:rPr>
          <w:rFonts w:eastAsia="Hiragino Kaku Gothic Pro W6" w:cs="Segoe UI"/>
        </w:rPr>
      </w:pPr>
    </w:p>
    <w:p w:rsidR="00960F69" w:rsidRPr="000578E2" w:rsidRDefault="00960F69" w:rsidP="00382DB8">
      <w:pPr>
        <w:spacing w:before="120"/>
        <w:jc w:val="both"/>
        <w:rPr>
          <w:rFonts w:eastAsia="Hiragino Kaku Gothic Pro W6" w:cs="Segoe UI"/>
        </w:rPr>
      </w:pPr>
    </w:p>
    <w:p w:rsidR="008F3B18" w:rsidRPr="000578E2" w:rsidRDefault="008F3B18" w:rsidP="008D5309">
      <w:pPr>
        <w:rPr>
          <w:rFonts w:eastAsia="Hiragino Kaku Gothic Pro W6" w:cs="Segoe UI"/>
          <w:b/>
          <w:color w:val="1F497D"/>
        </w:rPr>
      </w:pPr>
    </w:p>
    <w:p w:rsidR="008D5309" w:rsidRPr="000578E2" w:rsidRDefault="0056204C" w:rsidP="008F3B18">
      <w:pPr>
        <w:pStyle w:val="Heading2"/>
        <w:spacing w:before="120" w:after="60"/>
        <w:rPr>
          <w:sz w:val="24"/>
          <w:szCs w:val="24"/>
        </w:rPr>
      </w:pPr>
      <w:r w:rsidRPr="000578E2">
        <w:rPr>
          <w:sz w:val="24"/>
          <w:szCs w:val="24"/>
        </w:rPr>
        <w:lastRenderedPageBreak/>
        <w:t xml:space="preserve">Top </w:t>
      </w:r>
      <w:r>
        <w:rPr>
          <w:sz w:val="24"/>
          <w:szCs w:val="24"/>
        </w:rPr>
        <w:t>5</w:t>
      </w:r>
      <w:r w:rsidRPr="000578E2">
        <w:rPr>
          <w:sz w:val="24"/>
          <w:szCs w:val="24"/>
        </w:rPr>
        <w:t xml:space="preserve"> stocks by weight as at </w:t>
      </w:r>
      <w:r>
        <w:rPr>
          <w:sz w:val="24"/>
          <w:szCs w:val="24"/>
        </w:rPr>
        <w:t>30 September 2021</w:t>
      </w:r>
    </w:p>
    <w:tbl>
      <w:tblPr>
        <w:tblW w:w="0" w:type="auto"/>
        <w:tblBorders>
          <w:top w:val="single" w:sz="4" w:space="0" w:color="91CFE6"/>
          <w:left w:val="single" w:sz="4" w:space="0" w:color="91CFE6"/>
          <w:bottom w:val="single" w:sz="4" w:space="0" w:color="91CFE6"/>
          <w:right w:val="single" w:sz="4" w:space="0" w:color="91CFE6"/>
          <w:insideH w:val="single" w:sz="4" w:space="0" w:color="91CFE6"/>
          <w:insideV w:val="single" w:sz="4" w:space="0" w:color="91CFE6"/>
        </w:tblBorders>
        <w:shd w:val="clear" w:color="auto" w:fill="91CFE6"/>
        <w:tblCellMar>
          <w:top w:w="60" w:type="dxa"/>
          <w:bottom w:w="60" w:type="dxa"/>
        </w:tblCellMar>
        <w:tblLook w:val="04A0" w:firstRow="1" w:lastRow="0" w:firstColumn="1" w:lastColumn="0" w:noHBand="0" w:noVBand="1"/>
      </w:tblPr>
      <w:tblGrid>
        <w:gridCol w:w="3827"/>
        <w:gridCol w:w="3119"/>
      </w:tblGrid>
      <w:tr w:rsidR="009A2283" w:rsidRPr="000578E2" w:rsidTr="004734B1">
        <w:tc>
          <w:tcPr>
            <w:tcW w:w="3827"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Company Name</w:t>
            </w:r>
          </w:p>
        </w:tc>
        <w:tc>
          <w:tcPr>
            <w:tcW w:w="3119" w:type="dxa"/>
            <w:tcBorders>
              <w:bottom w:val="single" w:sz="4" w:space="0" w:color="91CFE6"/>
            </w:tcBorders>
            <w:shd w:val="clear" w:color="auto" w:fill="91CFE6"/>
            <w:tcMar>
              <w:top w:w="45" w:type="dxa"/>
              <w:bottom w:w="45" w:type="dxa"/>
            </w:tcMar>
            <w:vAlign w:val="center"/>
          </w:tcPr>
          <w:p w:rsidR="009A2283" w:rsidRPr="000578E2" w:rsidRDefault="009A2283" w:rsidP="00A96812">
            <w:pPr>
              <w:rPr>
                <w:rFonts w:cs="Calibri"/>
                <w:b/>
                <w:color w:val="000000"/>
              </w:rPr>
            </w:pPr>
            <w:r w:rsidRPr="000578E2">
              <w:rPr>
                <w:rFonts w:cs="Calibri"/>
                <w:b/>
                <w:color w:val="000000"/>
              </w:rPr>
              <w:t>Sector</w:t>
            </w:r>
          </w:p>
        </w:tc>
      </w:tr>
      <w:tr w:rsidR="009C094B">
        <w:tc>
          <w:tcPr>
            <w:tcW w:w="2310" w:type="dxa"/>
          </w:tcPr>
          <w:p w:rsidR="009C094B" w:rsidRDefault="00960F69">
            <w:r>
              <w:t>BELLEVUE GOLD LTD ORDINARY</w:t>
            </w:r>
          </w:p>
        </w:tc>
        <w:tc>
          <w:tcPr>
            <w:tcW w:w="2310" w:type="dxa"/>
          </w:tcPr>
          <w:p w:rsidR="009C094B" w:rsidRDefault="00960F69">
            <w:r>
              <w:t>Materials</w:t>
            </w:r>
          </w:p>
        </w:tc>
      </w:tr>
      <w:tr w:rsidR="009C094B">
        <w:tc>
          <w:tcPr>
            <w:tcW w:w="2310" w:type="dxa"/>
          </w:tcPr>
          <w:p w:rsidR="009C094B" w:rsidRDefault="00960F69">
            <w:r>
              <w:t>WESTPAC BANKING CORP ORDINARY</w:t>
            </w:r>
          </w:p>
        </w:tc>
        <w:tc>
          <w:tcPr>
            <w:tcW w:w="2310" w:type="dxa"/>
          </w:tcPr>
          <w:p w:rsidR="009C094B" w:rsidRDefault="00960F69">
            <w:r>
              <w:t>Financials</w:t>
            </w:r>
          </w:p>
        </w:tc>
      </w:tr>
      <w:tr w:rsidR="009C094B">
        <w:tc>
          <w:tcPr>
            <w:tcW w:w="2310" w:type="dxa"/>
          </w:tcPr>
          <w:p w:rsidR="009C094B" w:rsidRDefault="00960F69">
            <w:r>
              <w:t>WAM GLOBAL LIMITED ORDINARY</w:t>
            </w:r>
          </w:p>
        </w:tc>
        <w:tc>
          <w:tcPr>
            <w:tcW w:w="2310" w:type="dxa"/>
          </w:tcPr>
          <w:p w:rsidR="009C094B" w:rsidRDefault="00960F69">
            <w:r>
              <w:t>Unidentified</w:t>
            </w:r>
          </w:p>
        </w:tc>
      </w:tr>
      <w:tr w:rsidR="009C094B">
        <w:tc>
          <w:tcPr>
            <w:tcW w:w="2310" w:type="dxa"/>
          </w:tcPr>
          <w:p w:rsidR="009C094B" w:rsidRDefault="00960F69">
            <w:r>
              <w:t>MACQUARIE GROUP LTD ORDINARY</w:t>
            </w:r>
          </w:p>
        </w:tc>
        <w:tc>
          <w:tcPr>
            <w:tcW w:w="2310" w:type="dxa"/>
          </w:tcPr>
          <w:p w:rsidR="009C094B" w:rsidRDefault="00960F69">
            <w:r>
              <w:t>Financials</w:t>
            </w:r>
          </w:p>
        </w:tc>
      </w:tr>
      <w:tr w:rsidR="009C094B">
        <w:tc>
          <w:tcPr>
            <w:tcW w:w="2310" w:type="dxa"/>
          </w:tcPr>
          <w:p w:rsidR="009C094B" w:rsidRDefault="00960F69">
            <w:r>
              <w:t>MAGELLAN FIN GRP LTD ORDINARY</w:t>
            </w:r>
          </w:p>
        </w:tc>
        <w:tc>
          <w:tcPr>
            <w:tcW w:w="2310" w:type="dxa"/>
          </w:tcPr>
          <w:p w:rsidR="009C094B" w:rsidRDefault="00960F69">
            <w:r>
              <w:t>Financials</w:t>
            </w:r>
          </w:p>
        </w:tc>
      </w:tr>
    </w:tbl>
    <w:p w:rsidR="008833C7" w:rsidRDefault="008833C7" w:rsidP="008F3B18">
      <w:pPr>
        <w:pStyle w:val="Heading2"/>
        <w:spacing w:before="120" w:after="60"/>
      </w:pPr>
    </w:p>
    <w:p w:rsidR="008D5309" w:rsidRPr="000578E2" w:rsidRDefault="000A2C55" w:rsidP="008F3B18">
      <w:pPr>
        <w:pStyle w:val="Heading2"/>
        <w:spacing w:before="120" w:after="60"/>
      </w:pPr>
      <w:r w:rsidRPr="000578E2">
        <w:t>Market Outlook</w:t>
      </w:r>
    </w:p>
    <w:p w:rsidR="008D5309" w:rsidRPr="00A122E6" w:rsidRDefault="00960F69" w:rsidP="00A122E6">
      <w:pPr>
        <w:spacing w:before="120"/>
        <w:jc w:val="both"/>
        <w:rPr>
          <w:rFonts w:eastAsia="Hiragino Kaku Gothic Pro W6" w:cs="Segoe UI"/>
        </w:rPr>
      </w:pPr>
      <w:r>
        <w:rPr>
          <w:rFonts w:eastAsia="Hiragino Kaku Gothic Pro W6" w:cs="Segoe UI"/>
        </w:rPr>
        <w:t xml:space="preserve">If we are going to get a correction, it should be before December. </w:t>
      </w:r>
      <w:r w:rsidR="00A122E6">
        <w:rPr>
          <w:rFonts w:eastAsia="Calibri"/>
        </w:rPr>
        <w:t>But i</w:t>
      </w:r>
      <w:r>
        <w:rPr>
          <w:rFonts w:eastAsia="Calibri"/>
        </w:rPr>
        <w:t>ts looking</w:t>
      </w:r>
      <w:r w:rsidR="00A122E6">
        <w:rPr>
          <w:rFonts w:eastAsia="Calibri"/>
        </w:rPr>
        <w:t xml:space="preserve"> like markets will continue to </w:t>
      </w:r>
      <w:r>
        <w:rPr>
          <w:rFonts w:eastAsia="Calibri"/>
        </w:rPr>
        <w:t xml:space="preserve">focus on the </w:t>
      </w:r>
      <w:r w:rsidR="00A122E6">
        <w:rPr>
          <w:rFonts w:eastAsia="Calibri"/>
        </w:rPr>
        <w:t xml:space="preserve">quite reasonable </w:t>
      </w:r>
      <w:r>
        <w:rPr>
          <w:rFonts w:eastAsia="Calibri"/>
        </w:rPr>
        <w:t>earnings growth, and a</w:t>
      </w:r>
      <w:r w:rsidR="00A122E6">
        <w:rPr>
          <w:rFonts w:eastAsia="Calibri"/>
        </w:rPr>
        <w:t>n eventual</w:t>
      </w:r>
      <w:r>
        <w:rPr>
          <w:rFonts w:eastAsia="Calibri"/>
        </w:rPr>
        <w:t xml:space="preserve"> return to normality as </w:t>
      </w:r>
      <w:proofErr w:type="spellStart"/>
      <w:r>
        <w:rPr>
          <w:rFonts w:eastAsia="Calibri"/>
        </w:rPr>
        <w:t>covid</w:t>
      </w:r>
      <w:proofErr w:type="spellEnd"/>
      <w:r>
        <w:rPr>
          <w:rFonts w:eastAsia="Calibri"/>
        </w:rPr>
        <w:t xml:space="preserve"> vaccinations rise, </w:t>
      </w:r>
      <w:r w:rsidR="00A122E6">
        <w:rPr>
          <w:rFonts w:eastAsia="Calibri"/>
        </w:rPr>
        <w:t xml:space="preserve">and the virus mutates itself into more infectious but more harmless variants, as is the nature of viruses. </w:t>
      </w:r>
      <w:r>
        <w:rPr>
          <w:rFonts w:eastAsia="Calibri"/>
        </w:rPr>
        <w:t xml:space="preserve">Will </w:t>
      </w:r>
      <w:proofErr w:type="spellStart"/>
      <w:r>
        <w:rPr>
          <w:rFonts w:eastAsia="Calibri"/>
        </w:rPr>
        <w:t>Bitcoin</w:t>
      </w:r>
      <w:proofErr w:type="spellEnd"/>
      <w:r>
        <w:rPr>
          <w:rFonts w:eastAsia="Calibri"/>
        </w:rPr>
        <w:t xml:space="preserve"> and other </w:t>
      </w:r>
      <w:proofErr w:type="spellStart"/>
      <w:proofErr w:type="gramStart"/>
      <w:r>
        <w:rPr>
          <w:rFonts w:eastAsia="Calibri"/>
        </w:rPr>
        <w:t>cryptos</w:t>
      </w:r>
      <w:proofErr w:type="spellEnd"/>
      <w:proofErr w:type="gramEnd"/>
      <w:r>
        <w:rPr>
          <w:rFonts w:eastAsia="Calibri"/>
        </w:rPr>
        <w:t xml:space="preserve"> peak now that the launch of an ETF in the USA has given tacit supp</w:t>
      </w:r>
      <w:r w:rsidR="00A122E6">
        <w:rPr>
          <w:rFonts w:eastAsia="Calibri"/>
        </w:rPr>
        <w:t>ort? It won’t be the first time that exchange</w:t>
      </w:r>
      <w:r>
        <w:rPr>
          <w:rFonts w:eastAsia="Calibri"/>
        </w:rPr>
        <w:t xml:space="preserve">s </w:t>
      </w:r>
      <w:r w:rsidR="00A122E6">
        <w:rPr>
          <w:rFonts w:eastAsia="Calibri"/>
        </w:rPr>
        <w:t>have embraced a concept to make mone</w:t>
      </w:r>
      <w:r>
        <w:rPr>
          <w:rFonts w:eastAsia="Calibri"/>
        </w:rPr>
        <w:t xml:space="preserve">y for its participants, </w:t>
      </w:r>
      <w:r w:rsidR="00A122E6">
        <w:rPr>
          <w:rFonts w:eastAsia="Calibri"/>
        </w:rPr>
        <w:t xml:space="preserve">at the expense of retail punters who are unaware </w:t>
      </w:r>
      <w:r>
        <w:rPr>
          <w:rFonts w:eastAsia="Calibri"/>
        </w:rPr>
        <w:t xml:space="preserve">the concept itself is </w:t>
      </w:r>
      <w:proofErr w:type="gramStart"/>
      <w:r>
        <w:rPr>
          <w:rFonts w:eastAsia="Calibri"/>
        </w:rPr>
        <w:t>doomed</w:t>
      </w:r>
      <w:proofErr w:type="gramEnd"/>
      <w:r>
        <w:rPr>
          <w:rFonts w:eastAsia="Calibri"/>
        </w:rPr>
        <w:t xml:space="preserve"> to failure.</w:t>
      </w:r>
    </w:p>
    <w:p w:rsidR="00960F69" w:rsidRDefault="00A122E6" w:rsidP="00382DB8">
      <w:pPr>
        <w:jc w:val="both"/>
        <w:rPr>
          <w:rFonts w:eastAsia="Calibri"/>
        </w:rPr>
      </w:pPr>
      <w:r>
        <w:rPr>
          <w:rFonts w:eastAsia="Calibri"/>
        </w:rPr>
        <w:t>We are going to hear more about value versus grow</w:t>
      </w:r>
      <w:bookmarkStart w:id="0" w:name="_GoBack"/>
      <w:bookmarkEnd w:id="0"/>
      <w:r>
        <w:rPr>
          <w:rFonts w:eastAsia="Calibri"/>
        </w:rPr>
        <w:t>th/tech in coming months.</w:t>
      </w:r>
    </w:p>
    <w:p w:rsidR="00A122E6" w:rsidRPr="000578E2" w:rsidRDefault="00A122E6" w:rsidP="00382DB8">
      <w:pPr>
        <w:jc w:val="both"/>
        <w:rPr>
          <w:rFonts w:eastAsia="Calibri"/>
        </w:rPr>
        <w:sectPr w:rsidR="00A122E6" w:rsidRPr="000578E2" w:rsidSect="00334718">
          <w:type w:val="continuous"/>
          <w:pgSz w:w="11900" w:h="16840"/>
          <w:pgMar w:top="1440" w:right="1410" w:bottom="1440" w:left="1276" w:header="708" w:footer="708" w:gutter="0"/>
          <w:cols w:space="708"/>
        </w:sectPr>
      </w:pPr>
    </w:p>
    <w:p w:rsidR="00FA00EF" w:rsidRPr="000578E2" w:rsidRDefault="00FA00EF" w:rsidP="004E1B71">
      <w:pPr>
        <w:pStyle w:val="Heading2"/>
        <w:rPr>
          <w:sz w:val="44"/>
        </w:rPr>
      </w:pPr>
      <w:r w:rsidRPr="000578E2">
        <w:rPr>
          <w:sz w:val="44"/>
        </w:rPr>
        <w:lastRenderedPageBreak/>
        <w:t>IMPORTANT INFORMATION</w:t>
      </w:r>
    </w:p>
    <w:p w:rsidR="00FA00EF" w:rsidRPr="000578E2" w:rsidRDefault="00FA00EF" w:rsidP="007D418F"/>
    <w:p w:rsidR="00FA00EF" w:rsidRPr="00BF13DF" w:rsidRDefault="00FA00EF" w:rsidP="000517C1">
      <w:pPr>
        <w:autoSpaceDE w:val="0"/>
        <w:autoSpaceDN w:val="0"/>
        <w:adjustRightInd w:val="0"/>
        <w:spacing w:after="0" w:line="240" w:lineRule="auto"/>
        <w:rPr>
          <w:rFonts w:cs="Arial Narrow"/>
          <w:b/>
          <w:bCs/>
          <w:sz w:val="20"/>
          <w:szCs w:val="20"/>
        </w:rPr>
      </w:pPr>
    </w:p>
    <w:p w:rsidR="00FA00EF" w:rsidRPr="00BF13DF" w:rsidRDefault="00FA00EF" w:rsidP="000517C1">
      <w:pPr>
        <w:widowControl w:val="0"/>
        <w:autoSpaceDE w:val="0"/>
        <w:autoSpaceDN w:val="0"/>
        <w:adjustRightInd w:val="0"/>
        <w:snapToGrid w:val="0"/>
        <w:spacing w:after="120" w:line="240" w:lineRule="auto"/>
        <w:jc w:val="both"/>
        <w:rPr>
          <w:rFonts w:cs="GillSans Light"/>
          <w:color w:val="000000"/>
          <w:sz w:val="20"/>
          <w:szCs w:val="20"/>
        </w:rPr>
        <w:sectPr w:rsidR="00FA00EF" w:rsidRPr="00BF13DF" w:rsidSect="009A2283">
          <w:pgSz w:w="11900" w:h="16840"/>
          <w:pgMar w:top="1440" w:right="1410" w:bottom="1440" w:left="1276" w:header="708" w:footer="708" w:gutter="0"/>
          <w:cols w:space="708"/>
        </w:sectPr>
      </w:pPr>
    </w:p>
    <w:p w:rsidR="00BF13DF" w:rsidRPr="00BF13DF" w:rsidRDefault="00BF13DF" w:rsidP="00BF13DF">
      <w:pPr>
        <w:rPr>
          <w:sz w:val="20"/>
          <w:szCs w:val="20"/>
        </w:rPr>
      </w:pPr>
      <w:r w:rsidRPr="00BF13DF">
        <w:rPr>
          <w:sz w:val="20"/>
          <w:szCs w:val="20"/>
        </w:rPr>
        <w:lastRenderedPageBreak/>
        <w:t>Prepared by HUB24 Custodial Services Ltd (ABN 94 073 633 664, AFS licence No. 239 122) ("the Operator” of HUB24 Invest (the Service)) and (("the Promo</w:t>
      </w:r>
      <w:r w:rsidR="00366F8F">
        <w:rPr>
          <w:sz w:val="20"/>
          <w:szCs w:val="20"/>
        </w:rPr>
        <w:t>ter” of HUB24 Super (the Fund))</w:t>
      </w:r>
      <w:r w:rsidRPr="00BF13DF">
        <w:rPr>
          <w:sz w:val="20"/>
          <w:szCs w:val="20"/>
        </w:rPr>
        <w:t>". The information contained in this document is not intended to be a definitive statement on the subject matter nor an endorsement that this Portfolio is appropriate for you and should not be relied upon in making a decision to invest in this Service</w:t>
      </w:r>
      <w:r w:rsidR="00366F8F">
        <w:rPr>
          <w:sz w:val="20"/>
          <w:szCs w:val="20"/>
        </w:rPr>
        <w:t xml:space="preserve"> or Fund</w:t>
      </w:r>
      <w:r w:rsidRPr="00BF13DF">
        <w:rPr>
          <w:sz w:val="20"/>
          <w:szCs w:val="20"/>
        </w:rPr>
        <w:t xml:space="preserve">. </w:t>
      </w:r>
    </w:p>
    <w:p w:rsidR="008D5309" w:rsidRPr="00BF13DF" w:rsidRDefault="008D5309" w:rsidP="008D5309">
      <w:pPr>
        <w:widowControl w:val="0"/>
        <w:autoSpaceDE w:val="0"/>
        <w:autoSpaceDN w:val="0"/>
        <w:adjustRightInd w:val="0"/>
        <w:snapToGrid w:val="0"/>
        <w:spacing w:after="0" w:line="240" w:lineRule="auto"/>
        <w:rPr>
          <w:sz w:val="20"/>
          <w:szCs w:val="20"/>
        </w:rPr>
      </w:pPr>
    </w:p>
    <w:p w:rsidR="00D16B2C" w:rsidRPr="000578E2" w:rsidRDefault="00D16B2C" w:rsidP="00D16B2C">
      <w:pPr>
        <w:spacing w:after="0"/>
        <w:rPr>
          <w:sz w:val="20"/>
          <w:szCs w:val="20"/>
          <w:lang w:val="en-US"/>
        </w:rPr>
      </w:pPr>
      <w:proofErr w:type="gramStart"/>
      <w:r w:rsidRPr="000578E2">
        <w:rPr>
          <w:sz w:val="20"/>
          <w:szCs w:val="20"/>
          <w:lang w:val="en-US"/>
        </w:rPr>
        <w:t xml:space="preserve">Financial commentary contained within this report is provided by </w:t>
      </w:r>
      <w:r>
        <w:rPr>
          <w:sz w:val="20"/>
          <w:szCs w:val="20"/>
          <w:lang w:val="en-US"/>
        </w:rPr>
        <w:t>Aldersley Capital Pty Ltd</w:t>
      </w:r>
      <w:proofErr w:type="gramEnd"/>
      <w:r w:rsidR="00073D80" w:rsidRPr="000578E2">
        <w:rPr>
          <w:sz w:val="20"/>
          <w:szCs w:val="20"/>
          <w:lang w:val="en-US"/>
        </w:rPr>
        <w:t xml:space="preserve"> (</w:t>
      </w:r>
      <w:r>
        <w:rPr>
          <w:sz w:val="20"/>
          <w:szCs w:val="20"/>
          <w:lang w:val="en-US"/>
        </w:rPr>
        <w:t xml:space="preserve">ABN 14 002 972 901) a corporate </w:t>
      </w:r>
      <w:proofErr w:type="spellStart"/>
      <w:r>
        <w:rPr>
          <w:sz w:val="20"/>
          <w:szCs w:val="20"/>
          <w:lang w:val="en-US"/>
        </w:rPr>
        <w:t>authorised</w:t>
      </w:r>
      <w:proofErr w:type="spellEnd"/>
      <w:r>
        <w:rPr>
          <w:sz w:val="20"/>
          <w:szCs w:val="20"/>
          <w:lang w:val="en-US"/>
        </w:rPr>
        <w:t xml:space="preserve"> representative (No. 420193) of </w:t>
      </w:r>
      <w:proofErr w:type="spellStart"/>
      <w:r>
        <w:rPr>
          <w:sz w:val="20"/>
          <w:szCs w:val="20"/>
          <w:lang w:val="en-US"/>
        </w:rPr>
        <w:t>Andika</w:t>
      </w:r>
      <w:proofErr w:type="spellEnd"/>
      <w:r>
        <w:rPr>
          <w:sz w:val="20"/>
          <w:szCs w:val="20"/>
          <w:lang w:val="en-US"/>
        </w:rPr>
        <w:t xml:space="preserve"> Pty Ltd (ABN 41 117 403 326 and AFSL 297069</w:t>
      </w:r>
      <w:r w:rsidR="00073D80" w:rsidRPr="000578E2">
        <w:rPr>
          <w:sz w:val="20"/>
          <w:szCs w:val="20"/>
          <w:lang w:val="en-US"/>
        </w:rPr>
        <w:t>)</w:t>
      </w:r>
      <w:r w:rsidRPr="000578E2">
        <w:rPr>
          <w:sz w:val="20"/>
          <w:szCs w:val="20"/>
          <w:lang w:val="en-US"/>
        </w:rPr>
        <w:t>, who is the Portfolio Manager of this Portfolio.</w:t>
      </w:r>
    </w:p>
    <w:p w:rsidR="008D5309" w:rsidRPr="000578E2" w:rsidRDefault="008D5309" w:rsidP="008D5309">
      <w:pPr>
        <w:widowControl w:val="0"/>
        <w:autoSpaceDE w:val="0"/>
        <w:autoSpaceDN w:val="0"/>
        <w:adjustRightInd w:val="0"/>
        <w:snapToGrid w:val="0"/>
        <w:spacing w:after="0" w:line="240" w:lineRule="auto"/>
        <w:rPr>
          <w:sz w:val="20"/>
          <w:szCs w:val="20"/>
        </w:rPr>
      </w:pPr>
    </w:p>
    <w:p w:rsidR="00BF13DF" w:rsidRPr="00BF13DF" w:rsidRDefault="00BF13DF" w:rsidP="00BF13DF">
      <w:pPr>
        <w:rPr>
          <w:rFonts w:cstheme="minorBidi"/>
          <w:sz w:val="20"/>
          <w:szCs w:val="20"/>
        </w:rPr>
      </w:pPr>
      <w:r w:rsidRPr="00BF13DF">
        <w:rPr>
          <w:sz w:val="20"/>
          <w:szCs w:val="20"/>
        </w:rPr>
        <w:t xml:space="preserve">The information in this report is general information only and does not take into account your individual objectives, financial situation, needs or circumstances. No representations or warranties express or </w:t>
      </w:r>
      <w:proofErr w:type="gramStart"/>
      <w:r w:rsidRPr="00BF13DF">
        <w:rPr>
          <w:sz w:val="20"/>
          <w:szCs w:val="20"/>
        </w:rPr>
        <w:t>implied,</w:t>
      </w:r>
      <w:proofErr w:type="gramEnd"/>
      <w:r w:rsidRPr="00BF13DF">
        <w:rPr>
          <w:sz w:val="20"/>
          <w:szCs w:val="20"/>
        </w:rPr>
        <w:t xml:space="preserve"> are made as to the accuracy or completeness of the information, opinions and conclusions contained in this report. In preparing this report, HUB24 has relied upon and assumed, without independent verification, the accuracy and completeness of all information available to HUB24. To the maximum extent permitted by law, </w:t>
      </w:r>
      <w:proofErr w:type="gramStart"/>
      <w:r w:rsidRPr="00BF13DF">
        <w:rPr>
          <w:sz w:val="20"/>
          <w:szCs w:val="20"/>
        </w:rPr>
        <w:t>neither HUB24 or its directors, employees or agents</w:t>
      </w:r>
      <w:proofErr w:type="gramEnd"/>
      <w:r w:rsidRPr="00BF13DF">
        <w:rPr>
          <w:sz w:val="20"/>
          <w:szCs w:val="20"/>
        </w:rPr>
        <w:t xml:space="preserve"> accept any liability for any loss arising in relation to this report</w:t>
      </w:r>
      <w:r w:rsidRPr="00BF13DF">
        <w:rPr>
          <w:rFonts w:cstheme="minorBidi"/>
          <w:sz w:val="20"/>
          <w:szCs w:val="20"/>
        </w:rPr>
        <w:t xml:space="preserve">. </w:t>
      </w:r>
    </w:p>
    <w:p w:rsidR="00B04DA9" w:rsidRDefault="00B04DA9"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lastRenderedPageBreak/>
        <w:t xml:space="preserve">The suitability of the Service or Fund to your needs and the suitability of a particular Investment Choice </w:t>
      </w:r>
      <w:proofErr w:type="gramStart"/>
      <w:r w:rsidRPr="00BF13DF">
        <w:rPr>
          <w:sz w:val="20"/>
          <w:szCs w:val="20"/>
        </w:rPr>
        <w:t>depends</w:t>
      </w:r>
      <w:proofErr w:type="gramEnd"/>
      <w:r w:rsidRPr="00BF13DF">
        <w:rPr>
          <w:sz w:val="20"/>
          <w:szCs w:val="20"/>
        </w:rPr>
        <w:t xml:space="preserve"> on your individual circumstances and objectives and should be discussed with your Adviser. Potential investors must read the FSG and IDPS Guide and/or Super PDS along with any accompanying materials.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 xml:space="preserve">Investment in securities and other financial products involves risk. An investment in a financial product may have the potential for capital growth and income, but may also carry the risk that the total return on the investment may be less than the amount contributed directly by the investor.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Past performance of financial products is not a reliable indicator of future performa</w:t>
      </w:r>
      <w:r w:rsidR="00366F8F">
        <w:rPr>
          <w:sz w:val="20"/>
          <w:szCs w:val="20"/>
        </w:rPr>
        <w:t xml:space="preserve">nce.  HUB24 and the Trustee do not assure </w:t>
      </w:r>
      <w:r w:rsidRPr="00BF13DF">
        <w:rPr>
          <w:sz w:val="20"/>
          <w:szCs w:val="20"/>
        </w:rPr>
        <w:t xml:space="preserve">or guarantee the performance of any financial products offered. Information, opinions, historical performance, calculations or assessments of performance of financial products or markets rely on assumptions about tax, reinvestment, market performance, liquidity and other factors that will be important and may fluctuate over time. </w:t>
      </w:r>
    </w:p>
    <w:p w:rsidR="00245887" w:rsidRPr="000578E2" w:rsidRDefault="00245887" w:rsidP="00245887">
      <w:pPr>
        <w:widowControl w:val="0"/>
        <w:autoSpaceDE w:val="0"/>
        <w:autoSpaceDN w:val="0"/>
        <w:adjustRightInd w:val="0"/>
        <w:snapToGrid w:val="0"/>
        <w:spacing w:after="0" w:line="240" w:lineRule="auto"/>
        <w:rPr>
          <w:sz w:val="20"/>
          <w:szCs w:val="20"/>
        </w:rPr>
      </w:pPr>
    </w:p>
    <w:p w:rsidR="00BF13DF" w:rsidRPr="00BF13DF" w:rsidRDefault="00BF13DF" w:rsidP="00BF13DF">
      <w:pPr>
        <w:rPr>
          <w:sz w:val="20"/>
          <w:szCs w:val="20"/>
        </w:rPr>
      </w:pPr>
      <w:r w:rsidRPr="00BF13DF">
        <w:rPr>
          <w:sz w:val="20"/>
          <w:szCs w:val="20"/>
        </w:rPr>
        <w:t>HUB24, its associates and their respective directors and other staff each declare that they may, from time to time, hold interests in Securities that ar</w:t>
      </w:r>
      <w:r w:rsidR="00366F8F">
        <w:rPr>
          <w:sz w:val="20"/>
          <w:szCs w:val="20"/>
        </w:rPr>
        <w:t xml:space="preserve">e contained in this Service </w:t>
      </w:r>
      <w:r w:rsidRPr="00BF13DF">
        <w:rPr>
          <w:sz w:val="20"/>
          <w:szCs w:val="20"/>
        </w:rPr>
        <w:t>or Fund.</w:t>
      </w:r>
    </w:p>
    <w:p w:rsidR="008D5309" w:rsidRPr="008D5309" w:rsidRDefault="008D5309" w:rsidP="008D5309">
      <w:pPr>
        <w:widowControl w:val="0"/>
        <w:autoSpaceDE w:val="0"/>
        <w:autoSpaceDN w:val="0"/>
        <w:adjustRightInd w:val="0"/>
        <w:snapToGrid w:val="0"/>
        <w:spacing w:after="0" w:line="240" w:lineRule="auto"/>
        <w:rPr>
          <w:sz w:val="20"/>
          <w:szCs w:val="20"/>
        </w:rPr>
      </w:pPr>
    </w:p>
    <w:p w:rsidR="008D5309" w:rsidRPr="004E1B71" w:rsidRDefault="008D5309" w:rsidP="000517C1">
      <w:pPr>
        <w:widowControl w:val="0"/>
        <w:autoSpaceDE w:val="0"/>
        <w:autoSpaceDN w:val="0"/>
        <w:adjustRightInd w:val="0"/>
        <w:snapToGrid w:val="0"/>
        <w:spacing w:after="0" w:line="240" w:lineRule="auto"/>
        <w:rPr>
          <w:rFonts w:cs="GillSans Light"/>
          <w:sz w:val="20"/>
          <w:szCs w:val="18"/>
        </w:rPr>
      </w:pPr>
    </w:p>
    <w:p w:rsidR="00FA00EF" w:rsidRDefault="00FA00EF" w:rsidP="00EB437E">
      <w:pPr>
        <w:sectPr w:rsidR="00FA00EF" w:rsidSect="009A2283">
          <w:type w:val="continuous"/>
          <w:pgSz w:w="11900" w:h="16840"/>
          <w:pgMar w:top="1440" w:right="1410" w:bottom="1440" w:left="1276" w:header="708" w:footer="708" w:gutter="0"/>
          <w:cols w:num="2" w:space="708"/>
        </w:sectPr>
      </w:pPr>
    </w:p>
    <w:p w:rsidR="00FA00EF" w:rsidRPr="00EB437E" w:rsidRDefault="00FA00EF" w:rsidP="00EB437E"/>
    <w:sectPr w:rsidR="00FA00EF" w:rsidRPr="00EB437E" w:rsidSect="009A2283">
      <w:type w:val="continuous"/>
      <w:pgSz w:w="11900" w:h="16840"/>
      <w:pgMar w:top="1440" w:right="1410" w:bottom="1440" w:left="1276"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F69" w:rsidRDefault="00960F69">
      <w:pPr>
        <w:spacing w:after="0" w:line="240" w:lineRule="auto"/>
      </w:pPr>
      <w:r>
        <w:separator/>
      </w:r>
    </w:p>
  </w:endnote>
  <w:endnote w:type="continuationSeparator" w:id="0">
    <w:p w:rsidR="00960F69" w:rsidRDefault="00960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iragino Kaku Gothic Pro W6">
    <w:charset w:val="80"/>
    <w:family w:val="swiss"/>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yriad Pro">
    <w:panose1 w:val="020B050303040302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Narrow">
    <w:panose1 w:val="020B0506020202030204"/>
    <w:charset w:val="00"/>
    <w:family w:val="auto"/>
    <w:pitch w:val="variable"/>
    <w:sig w:usb0="00000003" w:usb1="00000000" w:usb2="00000000" w:usb3="00000000" w:csb0="00000001" w:csb1="00000000"/>
  </w:font>
  <w:font w:name="GillSans Light">
    <w:altName w:val="GillSans Light"/>
    <w:panose1 w:val="00000000000000000000"/>
    <w:charset w:val="00"/>
    <w:family w:val="auto"/>
    <w:notTrueType/>
    <w:pitch w:val="default"/>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F69" w:rsidRDefault="00960F69"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0F69" w:rsidRDefault="00960F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F69" w:rsidRDefault="00960F69" w:rsidP="00FA67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22E6">
      <w:rPr>
        <w:rStyle w:val="PageNumber"/>
        <w:noProof/>
      </w:rPr>
      <w:t>3</w:t>
    </w:r>
    <w:r>
      <w:rPr>
        <w:rStyle w:val="PageNumber"/>
      </w:rPr>
      <w:fldChar w:fldCharType="end"/>
    </w:r>
  </w:p>
  <w:p w:rsidR="00960F69" w:rsidRDefault="00960F69" w:rsidP="007A29C1">
    <w:pPr>
      <w:pStyle w:val="Footer"/>
      <w:jc w:val="center"/>
    </w:pPr>
  </w:p>
  <w:p w:rsidR="00960F69" w:rsidRDefault="00960F6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F69" w:rsidRDefault="00960F69">
      <w:pPr>
        <w:spacing w:after="0" w:line="240" w:lineRule="auto"/>
      </w:pPr>
      <w:r>
        <w:separator/>
      </w:r>
    </w:p>
  </w:footnote>
  <w:footnote w:type="continuationSeparator" w:id="0">
    <w:p w:rsidR="00960F69" w:rsidRDefault="00960F6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CCE11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CCC827E"/>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62CCAC72"/>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C4B84CD0"/>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829AC9CE"/>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47063D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F6E14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1F83C6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979826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1FCB12A"/>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251CF5DC"/>
    <w:lvl w:ilvl="0">
      <w:start w:val="1"/>
      <w:numFmt w:val="bullet"/>
      <w:lvlText w:val=""/>
      <w:lvlJc w:val="left"/>
      <w:pPr>
        <w:tabs>
          <w:tab w:val="num" w:pos="360"/>
        </w:tabs>
        <w:ind w:left="360" w:hanging="360"/>
      </w:pPr>
      <w:rPr>
        <w:rFonts w:ascii="Symbol" w:hAnsi="Symbol" w:hint="default"/>
      </w:rPr>
    </w:lvl>
  </w:abstractNum>
  <w:abstractNum w:abstractNumId="11">
    <w:nsid w:val="02B807CD"/>
    <w:multiLevelType w:val="multilevel"/>
    <w:tmpl w:val="8B9EB1BE"/>
    <w:lvl w:ilvl="0">
      <w:start w:val="1"/>
      <w:numFmt w:val="decimal"/>
      <w:lvlText w:val="%1"/>
      <w:lvlJc w:val="left"/>
      <w:pPr>
        <w:tabs>
          <w:tab w:val="num" w:pos="924"/>
        </w:tabs>
        <w:ind w:left="924" w:hanging="924"/>
      </w:pPr>
      <w:rPr>
        <w:rFonts w:cs="Times New Roman"/>
      </w:rPr>
    </w:lvl>
    <w:lvl w:ilvl="1">
      <w:start w:val="1"/>
      <w:numFmt w:val="decimal"/>
      <w:lvlText w:val="%1.%2"/>
      <w:lvlJc w:val="left"/>
      <w:pPr>
        <w:tabs>
          <w:tab w:val="num" w:pos="924"/>
        </w:tabs>
        <w:ind w:left="924" w:hanging="924"/>
      </w:pPr>
      <w:rPr>
        <w:rFonts w:cs="Times New Roman"/>
      </w:rPr>
    </w:lvl>
    <w:lvl w:ilvl="2">
      <w:start w:val="1"/>
      <w:numFmt w:val="decimal"/>
      <w:lvlText w:val="%1.%2.%3"/>
      <w:lvlJc w:val="left"/>
      <w:pPr>
        <w:tabs>
          <w:tab w:val="num" w:pos="1848"/>
        </w:tabs>
        <w:ind w:left="1848" w:hanging="924"/>
      </w:pPr>
      <w:rPr>
        <w:rFonts w:cs="Times New Roman"/>
      </w:rPr>
    </w:lvl>
    <w:lvl w:ilvl="3">
      <w:start w:val="1"/>
      <w:numFmt w:val="lowerLetter"/>
      <w:lvlText w:val="(%4)"/>
      <w:lvlJc w:val="left"/>
      <w:pPr>
        <w:tabs>
          <w:tab w:val="num" w:pos="2772"/>
        </w:tabs>
        <w:ind w:left="2772" w:hanging="924"/>
      </w:pPr>
      <w:rPr>
        <w:rFonts w:cs="Times New Roman"/>
      </w:rPr>
    </w:lvl>
    <w:lvl w:ilvl="4">
      <w:start w:val="1"/>
      <w:numFmt w:val="lowerLetter"/>
      <w:lvlText w:val="(%5)"/>
      <w:lvlJc w:val="left"/>
      <w:pPr>
        <w:tabs>
          <w:tab w:val="num" w:pos="1848"/>
        </w:tabs>
        <w:ind w:left="1848" w:hanging="924"/>
      </w:pPr>
      <w:rPr>
        <w:rFonts w:cs="Times New Roman"/>
      </w:rPr>
    </w:lvl>
    <w:lvl w:ilvl="5">
      <w:start w:val="1"/>
      <w:numFmt w:val="lowerRoman"/>
      <w:lvlRestart w:val="0"/>
      <w:lvlText w:val="(%6)"/>
      <w:lvlJc w:val="left"/>
      <w:pPr>
        <w:tabs>
          <w:tab w:val="num" w:pos="3697"/>
        </w:tabs>
        <w:ind w:left="3697" w:hanging="924"/>
      </w:pPr>
      <w:rPr>
        <w:rFonts w:cs="Times New Roman"/>
      </w:rPr>
    </w:lvl>
    <w:lvl w:ilvl="6">
      <w:start w:val="1"/>
      <w:numFmt w:val="none"/>
      <w:suff w:val="nothing"/>
      <w:lvlText w:val=""/>
      <w:lvlJc w:val="left"/>
      <w:pPr>
        <w:ind w:left="1848" w:hanging="1848"/>
      </w:pPr>
      <w:rPr>
        <w:rFonts w:cs="Times New Roman"/>
        <w:b w:val="0"/>
        <w:i w:val="0"/>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nsid w:val="0AA227AB"/>
    <w:multiLevelType w:val="hybridMultilevel"/>
    <w:tmpl w:val="9C4A6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B8F165B"/>
    <w:multiLevelType w:val="hybridMultilevel"/>
    <w:tmpl w:val="A35C8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7930A77"/>
    <w:multiLevelType w:val="hybridMultilevel"/>
    <w:tmpl w:val="A3C69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974C9"/>
    <w:multiLevelType w:val="hybridMultilevel"/>
    <w:tmpl w:val="1B7A8844"/>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3E5747E4"/>
    <w:multiLevelType w:val="hybridMultilevel"/>
    <w:tmpl w:val="8FF07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8FA6886"/>
    <w:multiLevelType w:val="hybridMultilevel"/>
    <w:tmpl w:val="2E444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5D412F9"/>
    <w:multiLevelType w:val="hybridMultilevel"/>
    <w:tmpl w:val="CA443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FED0C74"/>
    <w:multiLevelType w:val="hybridMultilevel"/>
    <w:tmpl w:val="8A208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7"/>
  </w:num>
  <w:num w:numId="4">
    <w:abstractNumId w:val="14"/>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2901A5"/>
    <w:rsid w:val="00001B40"/>
    <w:rsid w:val="00001ED0"/>
    <w:rsid w:val="000025D7"/>
    <w:rsid w:val="0000299E"/>
    <w:rsid w:val="0001455F"/>
    <w:rsid w:val="000220ED"/>
    <w:rsid w:val="0002226B"/>
    <w:rsid w:val="00025F53"/>
    <w:rsid w:val="000319BE"/>
    <w:rsid w:val="000507A6"/>
    <w:rsid w:val="000517C1"/>
    <w:rsid w:val="0005562F"/>
    <w:rsid w:val="000578E2"/>
    <w:rsid w:val="00061828"/>
    <w:rsid w:val="000637DC"/>
    <w:rsid w:val="00073D80"/>
    <w:rsid w:val="00077DB3"/>
    <w:rsid w:val="00090CAA"/>
    <w:rsid w:val="000939CB"/>
    <w:rsid w:val="000A2C55"/>
    <w:rsid w:val="000A6975"/>
    <w:rsid w:val="000B7A46"/>
    <w:rsid w:val="000C667C"/>
    <w:rsid w:val="000D0DF5"/>
    <w:rsid w:val="000D3C30"/>
    <w:rsid w:val="000E71F6"/>
    <w:rsid w:val="000E75EE"/>
    <w:rsid w:val="000F2104"/>
    <w:rsid w:val="000F5F2C"/>
    <w:rsid w:val="00105CC1"/>
    <w:rsid w:val="00121412"/>
    <w:rsid w:val="001231DB"/>
    <w:rsid w:val="00124881"/>
    <w:rsid w:val="00126525"/>
    <w:rsid w:val="0013184D"/>
    <w:rsid w:val="00182271"/>
    <w:rsid w:val="0018386A"/>
    <w:rsid w:val="00197A5A"/>
    <w:rsid w:val="001A0AAF"/>
    <w:rsid w:val="001A3335"/>
    <w:rsid w:val="001A3F41"/>
    <w:rsid w:val="001A591F"/>
    <w:rsid w:val="001B3DFC"/>
    <w:rsid w:val="001C0A71"/>
    <w:rsid w:val="001C3E18"/>
    <w:rsid w:val="001C5E16"/>
    <w:rsid w:val="001C6875"/>
    <w:rsid w:val="001D3DCA"/>
    <w:rsid w:val="001E7EC0"/>
    <w:rsid w:val="001F32CD"/>
    <w:rsid w:val="001F7993"/>
    <w:rsid w:val="0020663F"/>
    <w:rsid w:val="00210965"/>
    <w:rsid w:val="00214160"/>
    <w:rsid w:val="00245887"/>
    <w:rsid w:val="002676E9"/>
    <w:rsid w:val="00272FE7"/>
    <w:rsid w:val="00273BF1"/>
    <w:rsid w:val="002901A5"/>
    <w:rsid w:val="002B3418"/>
    <w:rsid w:val="002B45A3"/>
    <w:rsid w:val="002B5F5E"/>
    <w:rsid w:val="002C51E9"/>
    <w:rsid w:val="002E6CA7"/>
    <w:rsid w:val="002F20A8"/>
    <w:rsid w:val="002F2975"/>
    <w:rsid w:val="002F2CF3"/>
    <w:rsid w:val="00305C6E"/>
    <w:rsid w:val="00312C96"/>
    <w:rsid w:val="00316554"/>
    <w:rsid w:val="0032615D"/>
    <w:rsid w:val="00330263"/>
    <w:rsid w:val="00333429"/>
    <w:rsid w:val="00334718"/>
    <w:rsid w:val="003405D5"/>
    <w:rsid w:val="0034117F"/>
    <w:rsid w:val="00353F12"/>
    <w:rsid w:val="00366F8F"/>
    <w:rsid w:val="00377C13"/>
    <w:rsid w:val="00382DB8"/>
    <w:rsid w:val="003940C6"/>
    <w:rsid w:val="003A347D"/>
    <w:rsid w:val="003C5ED9"/>
    <w:rsid w:val="003D6142"/>
    <w:rsid w:val="003E2A59"/>
    <w:rsid w:val="003E2DBE"/>
    <w:rsid w:val="003E30A4"/>
    <w:rsid w:val="003E3D17"/>
    <w:rsid w:val="00400995"/>
    <w:rsid w:val="0040653D"/>
    <w:rsid w:val="00431F1A"/>
    <w:rsid w:val="004352D0"/>
    <w:rsid w:val="0043779E"/>
    <w:rsid w:val="004530F2"/>
    <w:rsid w:val="004734B1"/>
    <w:rsid w:val="004737FA"/>
    <w:rsid w:val="00480D60"/>
    <w:rsid w:val="00482047"/>
    <w:rsid w:val="00486E96"/>
    <w:rsid w:val="0049739E"/>
    <w:rsid w:val="004A7104"/>
    <w:rsid w:val="004B041A"/>
    <w:rsid w:val="004B1795"/>
    <w:rsid w:val="004B23F9"/>
    <w:rsid w:val="004E1B71"/>
    <w:rsid w:val="004E44B8"/>
    <w:rsid w:val="00502351"/>
    <w:rsid w:val="005176E0"/>
    <w:rsid w:val="005344E2"/>
    <w:rsid w:val="00545522"/>
    <w:rsid w:val="0054745D"/>
    <w:rsid w:val="00550D65"/>
    <w:rsid w:val="00555790"/>
    <w:rsid w:val="005557A7"/>
    <w:rsid w:val="00557B4C"/>
    <w:rsid w:val="00561456"/>
    <w:rsid w:val="0056204C"/>
    <w:rsid w:val="0057054E"/>
    <w:rsid w:val="00570B8C"/>
    <w:rsid w:val="00570D7D"/>
    <w:rsid w:val="00573142"/>
    <w:rsid w:val="00573A65"/>
    <w:rsid w:val="00574482"/>
    <w:rsid w:val="00595C08"/>
    <w:rsid w:val="005A6188"/>
    <w:rsid w:val="005B1651"/>
    <w:rsid w:val="005B257C"/>
    <w:rsid w:val="005C12E0"/>
    <w:rsid w:val="005E006E"/>
    <w:rsid w:val="005E5E28"/>
    <w:rsid w:val="005E60C2"/>
    <w:rsid w:val="005E68C7"/>
    <w:rsid w:val="005E7FDF"/>
    <w:rsid w:val="005F3DA2"/>
    <w:rsid w:val="0060001B"/>
    <w:rsid w:val="00617EAC"/>
    <w:rsid w:val="006200B2"/>
    <w:rsid w:val="00627CC2"/>
    <w:rsid w:val="00633126"/>
    <w:rsid w:val="00647DAB"/>
    <w:rsid w:val="006549D7"/>
    <w:rsid w:val="0066154A"/>
    <w:rsid w:val="00663FE7"/>
    <w:rsid w:val="006708AD"/>
    <w:rsid w:val="0067180A"/>
    <w:rsid w:val="006779B6"/>
    <w:rsid w:val="00686699"/>
    <w:rsid w:val="006C7527"/>
    <w:rsid w:val="006D019A"/>
    <w:rsid w:val="006D69FD"/>
    <w:rsid w:val="006E07AB"/>
    <w:rsid w:val="0070025C"/>
    <w:rsid w:val="00707779"/>
    <w:rsid w:val="007170D9"/>
    <w:rsid w:val="00720B1A"/>
    <w:rsid w:val="00740E1B"/>
    <w:rsid w:val="00743487"/>
    <w:rsid w:val="00747FE1"/>
    <w:rsid w:val="0078021D"/>
    <w:rsid w:val="00782989"/>
    <w:rsid w:val="00782C51"/>
    <w:rsid w:val="00786FED"/>
    <w:rsid w:val="007A06FD"/>
    <w:rsid w:val="007A29C1"/>
    <w:rsid w:val="007A3851"/>
    <w:rsid w:val="007B0BA3"/>
    <w:rsid w:val="007C6FB8"/>
    <w:rsid w:val="007D418F"/>
    <w:rsid w:val="007E19E3"/>
    <w:rsid w:val="007E4B77"/>
    <w:rsid w:val="00800086"/>
    <w:rsid w:val="00830CB5"/>
    <w:rsid w:val="00830D3E"/>
    <w:rsid w:val="00866748"/>
    <w:rsid w:val="00867930"/>
    <w:rsid w:val="00877513"/>
    <w:rsid w:val="008833C7"/>
    <w:rsid w:val="00887CF6"/>
    <w:rsid w:val="00890E2A"/>
    <w:rsid w:val="00893A4F"/>
    <w:rsid w:val="00896D01"/>
    <w:rsid w:val="008A4A74"/>
    <w:rsid w:val="008B52DB"/>
    <w:rsid w:val="008B746E"/>
    <w:rsid w:val="008C11F4"/>
    <w:rsid w:val="008C273E"/>
    <w:rsid w:val="008D32BC"/>
    <w:rsid w:val="008D3F80"/>
    <w:rsid w:val="008D4591"/>
    <w:rsid w:val="008D5309"/>
    <w:rsid w:val="008D6C55"/>
    <w:rsid w:val="008E0248"/>
    <w:rsid w:val="008E0FAD"/>
    <w:rsid w:val="008F3B18"/>
    <w:rsid w:val="008F66CD"/>
    <w:rsid w:val="008F67D0"/>
    <w:rsid w:val="0091061D"/>
    <w:rsid w:val="00910F86"/>
    <w:rsid w:val="00916750"/>
    <w:rsid w:val="00922D49"/>
    <w:rsid w:val="00930436"/>
    <w:rsid w:val="00933D57"/>
    <w:rsid w:val="00940173"/>
    <w:rsid w:val="00942102"/>
    <w:rsid w:val="00960F69"/>
    <w:rsid w:val="00965060"/>
    <w:rsid w:val="00973E1B"/>
    <w:rsid w:val="009837EB"/>
    <w:rsid w:val="00992EFD"/>
    <w:rsid w:val="0099426C"/>
    <w:rsid w:val="00994879"/>
    <w:rsid w:val="009A2283"/>
    <w:rsid w:val="009B0ED2"/>
    <w:rsid w:val="009C094B"/>
    <w:rsid w:val="009C1C03"/>
    <w:rsid w:val="009D60B5"/>
    <w:rsid w:val="009E2567"/>
    <w:rsid w:val="009F4AEF"/>
    <w:rsid w:val="009F61FC"/>
    <w:rsid w:val="009F6885"/>
    <w:rsid w:val="009F7C60"/>
    <w:rsid w:val="00A10544"/>
    <w:rsid w:val="00A122E6"/>
    <w:rsid w:val="00A132D1"/>
    <w:rsid w:val="00A23B7D"/>
    <w:rsid w:val="00A5391E"/>
    <w:rsid w:val="00A61BEA"/>
    <w:rsid w:val="00A628A3"/>
    <w:rsid w:val="00A72AAE"/>
    <w:rsid w:val="00A75306"/>
    <w:rsid w:val="00A75715"/>
    <w:rsid w:val="00A83853"/>
    <w:rsid w:val="00A83AFB"/>
    <w:rsid w:val="00A949F6"/>
    <w:rsid w:val="00A96812"/>
    <w:rsid w:val="00AA441E"/>
    <w:rsid w:val="00AA4593"/>
    <w:rsid w:val="00AB1971"/>
    <w:rsid w:val="00AC56F1"/>
    <w:rsid w:val="00AE0199"/>
    <w:rsid w:val="00AF25E2"/>
    <w:rsid w:val="00AF5BF0"/>
    <w:rsid w:val="00B04DA9"/>
    <w:rsid w:val="00B10045"/>
    <w:rsid w:val="00B36E40"/>
    <w:rsid w:val="00B4463A"/>
    <w:rsid w:val="00B614B9"/>
    <w:rsid w:val="00B6584F"/>
    <w:rsid w:val="00B67C36"/>
    <w:rsid w:val="00B70D75"/>
    <w:rsid w:val="00B73D36"/>
    <w:rsid w:val="00B97A6B"/>
    <w:rsid w:val="00BA2F7D"/>
    <w:rsid w:val="00BB4840"/>
    <w:rsid w:val="00BD1C00"/>
    <w:rsid w:val="00BF13DF"/>
    <w:rsid w:val="00C20F57"/>
    <w:rsid w:val="00C400A1"/>
    <w:rsid w:val="00C40B4B"/>
    <w:rsid w:val="00C41111"/>
    <w:rsid w:val="00C468E9"/>
    <w:rsid w:val="00C576B2"/>
    <w:rsid w:val="00C64E9B"/>
    <w:rsid w:val="00C652EB"/>
    <w:rsid w:val="00C919CE"/>
    <w:rsid w:val="00C91ECE"/>
    <w:rsid w:val="00C962FB"/>
    <w:rsid w:val="00CA331E"/>
    <w:rsid w:val="00CD7C85"/>
    <w:rsid w:val="00CE001F"/>
    <w:rsid w:val="00CE4E39"/>
    <w:rsid w:val="00CF40EA"/>
    <w:rsid w:val="00CF5A14"/>
    <w:rsid w:val="00D02BD5"/>
    <w:rsid w:val="00D042C6"/>
    <w:rsid w:val="00D16B2C"/>
    <w:rsid w:val="00D20E37"/>
    <w:rsid w:val="00D52BF6"/>
    <w:rsid w:val="00D550CD"/>
    <w:rsid w:val="00D66D3E"/>
    <w:rsid w:val="00D7053D"/>
    <w:rsid w:val="00D752F3"/>
    <w:rsid w:val="00D87D5D"/>
    <w:rsid w:val="00D94200"/>
    <w:rsid w:val="00DC03A2"/>
    <w:rsid w:val="00DC7EC9"/>
    <w:rsid w:val="00DD522C"/>
    <w:rsid w:val="00DF4FEF"/>
    <w:rsid w:val="00DF70EA"/>
    <w:rsid w:val="00E02F2D"/>
    <w:rsid w:val="00E13152"/>
    <w:rsid w:val="00E16255"/>
    <w:rsid w:val="00E330B1"/>
    <w:rsid w:val="00E3349C"/>
    <w:rsid w:val="00E33C9E"/>
    <w:rsid w:val="00E34D36"/>
    <w:rsid w:val="00E37E23"/>
    <w:rsid w:val="00E401D6"/>
    <w:rsid w:val="00E41FD1"/>
    <w:rsid w:val="00E60DB7"/>
    <w:rsid w:val="00E63CF8"/>
    <w:rsid w:val="00E655A2"/>
    <w:rsid w:val="00E847F5"/>
    <w:rsid w:val="00E90FEB"/>
    <w:rsid w:val="00E92AF6"/>
    <w:rsid w:val="00EA7058"/>
    <w:rsid w:val="00EB437E"/>
    <w:rsid w:val="00EC13B4"/>
    <w:rsid w:val="00EE749B"/>
    <w:rsid w:val="00EF234D"/>
    <w:rsid w:val="00F0274E"/>
    <w:rsid w:val="00F049B6"/>
    <w:rsid w:val="00F12E03"/>
    <w:rsid w:val="00F13119"/>
    <w:rsid w:val="00F2700A"/>
    <w:rsid w:val="00F356E9"/>
    <w:rsid w:val="00F366C0"/>
    <w:rsid w:val="00F40930"/>
    <w:rsid w:val="00F44535"/>
    <w:rsid w:val="00F47C5B"/>
    <w:rsid w:val="00F518A1"/>
    <w:rsid w:val="00F51936"/>
    <w:rsid w:val="00F53566"/>
    <w:rsid w:val="00F727FB"/>
    <w:rsid w:val="00F86FEA"/>
    <w:rsid w:val="00F95F2F"/>
    <w:rsid w:val="00FA00EF"/>
    <w:rsid w:val="00FA0914"/>
    <w:rsid w:val="00FA6749"/>
    <w:rsid w:val="00FC5180"/>
    <w:rsid w:val="00FE3073"/>
    <w:rsid w:val="00FF6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pPr>
        <w:spacing w:before="60" w:after="60" w:line="276" w:lineRule="auto"/>
      </w:pPr>
    </w:pPrDefault>
  </w:docDefaults>
  <w:latentStyles w:defLockedState="0" w:defUIPriority="99" w:defSemiHidden="1" w:defUnhideWhenUsed="1" w:defQFormat="0" w:count="276">
    <w:lsdException w:name="Normal" w:semiHidden="0" w:uiPriority="0" w:unhideWhenUsed="0" w:qFormat="1"/>
    <w:lsdException w:name="heading 1" w:locked="1" w:semiHidden="0" w:uiPriority="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locked="1" w:semiHidden="0" w:uiPriority="0" w:unhideWhenUsed="0"/>
    <w:lsdException w:name="Subtitle" w:semiHidden="0" w:uiPriority="11" w:unhideWhenUsed="0" w:qFormat="1"/>
    <w:lsdException w:name="Hyperlink" w:locked="1"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3D"/>
    <w:rPr>
      <w:rFonts w:ascii="Calibri" w:hAnsi="Calibri"/>
      <w:sz w:val="22"/>
      <w:szCs w:val="22"/>
      <w:lang w:val="en-AU"/>
    </w:rPr>
  </w:style>
  <w:style w:type="paragraph" w:styleId="Heading1">
    <w:name w:val="heading 1"/>
    <w:basedOn w:val="Normal"/>
    <w:next w:val="Normal"/>
    <w:link w:val="Heading1Char"/>
    <w:uiPriority w:val="99"/>
    <w:qFormat/>
    <w:rsid w:val="002901A5"/>
    <w:pPr>
      <w:keepNext/>
      <w:keepLines/>
      <w:spacing w:before="480" w:after="0"/>
      <w:outlineLvl w:val="0"/>
    </w:pPr>
    <w:rPr>
      <w:rFonts w:eastAsia="Hiragino Kaku Gothic Pro W6"/>
      <w:b/>
      <w:bCs/>
      <w:color w:val="7F7F7F"/>
      <w:sz w:val="32"/>
      <w:szCs w:val="32"/>
      <w:lang w:eastAsia="x-none"/>
    </w:rPr>
  </w:style>
  <w:style w:type="paragraph" w:styleId="Heading2">
    <w:name w:val="heading 2"/>
    <w:basedOn w:val="Normal"/>
    <w:next w:val="Normal"/>
    <w:link w:val="Heading2Char"/>
    <w:uiPriority w:val="99"/>
    <w:qFormat/>
    <w:rsid w:val="005E5E28"/>
    <w:pPr>
      <w:keepNext/>
      <w:keepLines/>
      <w:spacing w:before="200" w:after="0"/>
      <w:outlineLvl w:val="1"/>
    </w:pPr>
    <w:rPr>
      <w:b/>
      <w:bCs/>
      <w:color w:val="0092D2"/>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901A5"/>
    <w:rPr>
      <w:rFonts w:ascii="Calibri" w:eastAsia="Hiragino Kaku Gothic Pro W6" w:hAnsi="Calibri" w:cs="Times New Roman"/>
      <w:b/>
      <w:bCs/>
      <w:color w:val="7F7F7F"/>
      <w:sz w:val="32"/>
      <w:szCs w:val="32"/>
      <w:lang w:val="en-AU"/>
    </w:rPr>
  </w:style>
  <w:style w:type="character" w:customStyle="1" w:styleId="Heading2Char">
    <w:name w:val="Heading 2 Char"/>
    <w:link w:val="Heading2"/>
    <w:uiPriority w:val="99"/>
    <w:locked/>
    <w:rsid w:val="005E5E28"/>
    <w:rPr>
      <w:rFonts w:ascii="Calibri" w:hAnsi="Calibri" w:cs="Times New Roman"/>
      <w:b/>
      <w:bCs/>
      <w:color w:val="0092D2"/>
      <w:sz w:val="26"/>
      <w:szCs w:val="26"/>
      <w:lang w:val="en-AU"/>
    </w:rPr>
  </w:style>
  <w:style w:type="paragraph" w:styleId="ListParagraph">
    <w:name w:val="List Paragraph"/>
    <w:basedOn w:val="Normal"/>
    <w:uiPriority w:val="99"/>
    <w:qFormat/>
    <w:rsid w:val="00E16255"/>
    <w:pPr>
      <w:ind w:left="720"/>
      <w:contextualSpacing/>
    </w:pPr>
  </w:style>
  <w:style w:type="table" w:styleId="TableGrid">
    <w:name w:val="Table Grid"/>
    <w:basedOn w:val="TableNormal"/>
    <w:uiPriority w:val="99"/>
    <w:rsid w:val="00F518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7A29C1"/>
    <w:pPr>
      <w:tabs>
        <w:tab w:val="center" w:pos="4320"/>
        <w:tab w:val="right" w:pos="8640"/>
      </w:tabs>
      <w:spacing w:after="0" w:line="240" w:lineRule="auto"/>
    </w:pPr>
    <w:rPr>
      <w:lang w:eastAsia="x-none"/>
    </w:rPr>
  </w:style>
  <w:style w:type="character" w:customStyle="1" w:styleId="HeaderChar">
    <w:name w:val="Header Char"/>
    <w:link w:val="Header"/>
    <w:uiPriority w:val="99"/>
    <w:locked/>
    <w:rsid w:val="007A29C1"/>
    <w:rPr>
      <w:rFonts w:ascii="Calibri" w:hAnsi="Calibri" w:cs="Times New Roman"/>
      <w:sz w:val="22"/>
      <w:szCs w:val="22"/>
      <w:lang w:val="en-AU"/>
    </w:rPr>
  </w:style>
  <w:style w:type="paragraph" w:styleId="Footer">
    <w:name w:val="footer"/>
    <w:basedOn w:val="Normal"/>
    <w:link w:val="FooterChar"/>
    <w:uiPriority w:val="99"/>
    <w:rsid w:val="007A29C1"/>
    <w:pPr>
      <w:tabs>
        <w:tab w:val="center" w:pos="4320"/>
        <w:tab w:val="right" w:pos="8640"/>
      </w:tabs>
      <w:spacing w:after="0" w:line="240" w:lineRule="auto"/>
    </w:pPr>
    <w:rPr>
      <w:lang w:eastAsia="x-none"/>
    </w:rPr>
  </w:style>
  <w:style w:type="character" w:customStyle="1" w:styleId="FooterChar">
    <w:name w:val="Footer Char"/>
    <w:link w:val="Footer"/>
    <w:uiPriority w:val="99"/>
    <w:locked/>
    <w:rsid w:val="007A29C1"/>
    <w:rPr>
      <w:rFonts w:ascii="Calibri" w:hAnsi="Calibri" w:cs="Times New Roman"/>
      <w:sz w:val="22"/>
      <w:szCs w:val="22"/>
      <w:lang w:val="en-AU"/>
    </w:rPr>
  </w:style>
  <w:style w:type="character" w:styleId="PageNumber">
    <w:name w:val="page number"/>
    <w:uiPriority w:val="99"/>
    <w:rsid w:val="007A29C1"/>
    <w:rPr>
      <w:rFonts w:cs="Times New Roman"/>
    </w:rPr>
  </w:style>
  <w:style w:type="paragraph" w:styleId="BalloonText">
    <w:name w:val="Balloon Text"/>
    <w:basedOn w:val="Normal"/>
    <w:link w:val="BalloonTextChar"/>
    <w:uiPriority w:val="99"/>
    <w:rsid w:val="009E2567"/>
    <w:pPr>
      <w:spacing w:after="0" w:line="240" w:lineRule="auto"/>
    </w:pPr>
    <w:rPr>
      <w:rFonts w:ascii="Tahoma" w:hAnsi="Tahoma"/>
      <w:sz w:val="16"/>
      <w:szCs w:val="16"/>
      <w:lang w:eastAsia="x-none"/>
    </w:rPr>
  </w:style>
  <w:style w:type="character" w:customStyle="1" w:styleId="BalloonTextChar">
    <w:name w:val="Balloon Text Char"/>
    <w:link w:val="BalloonText"/>
    <w:uiPriority w:val="99"/>
    <w:locked/>
    <w:rsid w:val="009E2567"/>
    <w:rPr>
      <w:rFonts w:ascii="Tahoma" w:hAnsi="Tahoma" w:cs="Tahoma"/>
      <w:sz w:val="16"/>
      <w:szCs w:val="16"/>
      <w:lang w:val="en-AU"/>
    </w:rPr>
  </w:style>
  <w:style w:type="paragraph" w:customStyle="1" w:styleId="PFNumLevel2">
    <w:name w:val="PF (Num) Level 2"/>
    <w:basedOn w:val="Normal"/>
    <w:uiPriority w:val="99"/>
    <w:rsid w:val="00D02BD5"/>
    <w:pPr>
      <w:tabs>
        <w:tab w:val="num" w:pos="924"/>
        <w:tab w:val="left" w:pos="2773"/>
        <w:tab w:val="left" w:pos="3697"/>
        <w:tab w:val="left" w:pos="4621"/>
        <w:tab w:val="left" w:pos="5545"/>
        <w:tab w:val="left" w:pos="6469"/>
        <w:tab w:val="left" w:pos="7394"/>
        <w:tab w:val="left" w:pos="8318"/>
        <w:tab w:val="right" w:pos="8930"/>
      </w:tabs>
      <w:spacing w:before="120" w:after="120"/>
      <w:ind w:left="924" w:hanging="924"/>
    </w:pPr>
    <w:rPr>
      <w:rFonts w:ascii="Arial" w:eastAsia="Times New Roman" w:hAnsi="Arial"/>
      <w:color w:val="000000"/>
      <w:sz w:val="21"/>
      <w:szCs w:val="20"/>
    </w:rPr>
  </w:style>
  <w:style w:type="paragraph" w:customStyle="1" w:styleId="PFNumLevel3">
    <w:name w:val="PF (Num) Level 3"/>
    <w:basedOn w:val="Normal"/>
    <w:uiPriority w:val="99"/>
    <w:rsid w:val="00D02BD5"/>
    <w:pPr>
      <w:tabs>
        <w:tab w:val="num" w:pos="1848"/>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4">
    <w:name w:val="PF (Num) Level 4"/>
    <w:basedOn w:val="Normal"/>
    <w:uiPriority w:val="99"/>
    <w:rsid w:val="00D02BD5"/>
    <w:pPr>
      <w:tabs>
        <w:tab w:val="num" w:pos="2772"/>
        <w:tab w:val="left" w:pos="4621"/>
        <w:tab w:val="left" w:pos="5545"/>
        <w:tab w:val="left" w:pos="6469"/>
        <w:tab w:val="left" w:pos="7394"/>
        <w:tab w:val="left" w:pos="8318"/>
        <w:tab w:val="right" w:pos="8930"/>
      </w:tabs>
      <w:spacing w:before="120" w:after="120"/>
      <w:ind w:left="2772" w:hanging="924"/>
    </w:pPr>
    <w:rPr>
      <w:rFonts w:ascii="Arial" w:eastAsia="Times New Roman" w:hAnsi="Arial"/>
      <w:color w:val="000000"/>
      <w:sz w:val="21"/>
      <w:szCs w:val="20"/>
    </w:rPr>
  </w:style>
  <w:style w:type="paragraph" w:customStyle="1" w:styleId="PFNumLevel5">
    <w:name w:val="PF (Num) Level 5"/>
    <w:basedOn w:val="Normal"/>
    <w:uiPriority w:val="99"/>
    <w:rsid w:val="00D02BD5"/>
    <w:pPr>
      <w:tabs>
        <w:tab w:val="num" w:pos="1848"/>
        <w:tab w:val="left" w:pos="2773"/>
        <w:tab w:val="left" w:pos="3697"/>
        <w:tab w:val="left" w:pos="4621"/>
        <w:tab w:val="left" w:pos="5545"/>
        <w:tab w:val="left" w:pos="6469"/>
        <w:tab w:val="left" w:pos="7394"/>
        <w:tab w:val="left" w:pos="8318"/>
        <w:tab w:val="right" w:pos="8930"/>
      </w:tabs>
      <w:spacing w:before="120" w:after="120"/>
      <w:ind w:left="1848" w:hanging="924"/>
    </w:pPr>
    <w:rPr>
      <w:rFonts w:ascii="Arial" w:eastAsia="Times New Roman" w:hAnsi="Arial"/>
      <w:color w:val="000000"/>
      <w:sz w:val="21"/>
      <w:szCs w:val="20"/>
    </w:rPr>
  </w:style>
  <w:style w:type="paragraph" w:customStyle="1" w:styleId="PFNumLevel6">
    <w:name w:val="PF (Num) Level 6"/>
    <w:basedOn w:val="PFNumLevel4"/>
    <w:uiPriority w:val="99"/>
    <w:rsid w:val="00D02BD5"/>
    <w:pPr>
      <w:tabs>
        <w:tab w:val="clear" w:pos="2772"/>
        <w:tab w:val="num" w:pos="3697"/>
      </w:tabs>
      <w:spacing w:line="240" w:lineRule="auto"/>
      <w:ind w:left="3697"/>
    </w:pPr>
  </w:style>
  <w:style w:type="paragraph" w:styleId="BodyTextIndent">
    <w:name w:val="Body Text Indent"/>
    <w:basedOn w:val="BodyText"/>
    <w:link w:val="BodyTextIndentChar"/>
    <w:uiPriority w:val="99"/>
    <w:rsid w:val="00D02BD5"/>
    <w:pPr>
      <w:spacing w:before="240" w:after="0" w:line="240" w:lineRule="auto"/>
      <w:ind w:left="720"/>
    </w:pPr>
    <w:rPr>
      <w:rFonts w:ascii="Times New Roman" w:eastAsia="SimSun" w:hAnsi="Times New Roman"/>
      <w:sz w:val="20"/>
      <w:szCs w:val="20"/>
      <w:lang w:eastAsia="zh-CN"/>
    </w:rPr>
  </w:style>
  <w:style w:type="character" w:customStyle="1" w:styleId="BodyTextIndentChar">
    <w:name w:val="Body Text Indent Char"/>
    <w:link w:val="BodyTextIndent"/>
    <w:uiPriority w:val="99"/>
    <w:locked/>
    <w:rsid w:val="00D02BD5"/>
    <w:rPr>
      <w:rFonts w:ascii="Times New Roman" w:eastAsia="SimSun" w:hAnsi="Times New Roman" w:cs="Times New Roman"/>
      <w:lang w:val="en-AU" w:eastAsia="zh-CN"/>
    </w:rPr>
  </w:style>
  <w:style w:type="paragraph" w:styleId="BodyText">
    <w:name w:val="Body Text"/>
    <w:basedOn w:val="Normal"/>
    <w:link w:val="BodyTextChar"/>
    <w:uiPriority w:val="99"/>
    <w:rsid w:val="00D02BD5"/>
    <w:pPr>
      <w:spacing w:after="120"/>
    </w:pPr>
    <w:rPr>
      <w:lang w:eastAsia="x-none"/>
    </w:rPr>
  </w:style>
  <w:style w:type="character" w:customStyle="1" w:styleId="BodyTextChar">
    <w:name w:val="Body Text Char"/>
    <w:link w:val="BodyText"/>
    <w:uiPriority w:val="99"/>
    <w:locked/>
    <w:rsid w:val="00D02BD5"/>
    <w:rPr>
      <w:rFonts w:ascii="Calibri" w:hAnsi="Calibri" w:cs="Times New Roman"/>
      <w:sz w:val="22"/>
      <w:szCs w:val="22"/>
      <w:lang w:val="en-AU"/>
    </w:rPr>
  </w:style>
  <w:style w:type="character" w:styleId="Hyperlink">
    <w:name w:val="Hyperlink"/>
    <w:uiPriority w:val="99"/>
    <w:rsid w:val="00D02BD5"/>
    <w:rPr>
      <w:rFonts w:cs="Times New Roman"/>
      <w:color w:val="0000FF"/>
      <w:u w:val="single"/>
    </w:rPr>
  </w:style>
  <w:style w:type="paragraph" w:customStyle="1" w:styleId="body">
    <w:name w:val="body"/>
    <w:basedOn w:val="Normal"/>
    <w:uiPriority w:val="99"/>
    <w:rsid w:val="00D02BD5"/>
    <w:pPr>
      <w:spacing w:before="100" w:beforeAutospacing="1" w:after="100" w:afterAutospacing="1" w:line="240" w:lineRule="auto"/>
    </w:pPr>
    <w:rPr>
      <w:rFonts w:ascii="Arial" w:eastAsia="Times New Roman" w:hAnsi="Arial" w:cs="Arial"/>
      <w:color w:val="333333"/>
      <w:sz w:val="20"/>
      <w:szCs w:val="20"/>
      <w:lang w:eastAsia="en-AU"/>
    </w:rPr>
  </w:style>
  <w:style w:type="character" w:customStyle="1" w:styleId="A8">
    <w:name w:val="A8"/>
    <w:uiPriority w:val="99"/>
    <w:rsid w:val="009F6885"/>
    <w:rPr>
      <w:color w:val="000000"/>
      <w:sz w:val="20"/>
    </w:rPr>
  </w:style>
  <w:style w:type="paragraph" w:customStyle="1" w:styleId="Pa13">
    <w:name w:val="Pa13"/>
    <w:basedOn w:val="Normal"/>
    <w:next w:val="Normal"/>
    <w:uiPriority w:val="99"/>
    <w:rsid w:val="009F6885"/>
    <w:pPr>
      <w:autoSpaceDE w:val="0"/>
      <w:autoSpaceDN w:val="0"/>
      <w:adjustRightInd w:val="0"/>
      <w:spacing w:after="0" w:line="191" w:lineRule="atLeast"/>
    </w:pPr>
    <w:rPr>
      <w:rFonts w:ascii="Myriad Pro" w:eastAsia="MS Mincho" w:hAnsi="Myriad Pro"/>
      <w:sz w:val="24"/>
      <w:szCs w:val="24"/>
      <w:lang w:val="en-GB" w:eastAsia="ja-JP"/>
    </w:rPr>
  </w:style>
  <w:style w:type="paragraph" w:customStyle="1" w:styleId="Default">
    <w:name w:val="Default"/>
    <w:rsid w:val="00BF13DF"/>
    <w:pPr>
      <w:autoSpaceDE w:val="0"/>
      <w:autoSpaceDN w:val="0"/>
      <w:adjustRightInd w:val="0"/>
      <w:spacing w:before="0" w:after="0" w:line="240" w:lineRule="auto"/>
    </w:pPr>
    <w:rPr>
      <w:rFonts w:ascii="Calibri" w:eastAsiaTheme="minorHAnsi" w:hAnsi="Calibri" w:cs="Calibri"/>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2076">
      <w:bodyDiv w:val="1"/>
      <w:marLeft w:val="0"/>
      <w:marRight w:val="0"/>
      <w:marTop w:val="0"/>
      <w:marBottom w:val="0"/>
      <w:divBdr>
        <w:top w:val="none" w:sz="0" w:space="0" w:color="auto"/>
        <w:left w:val="none" w:sz="0" w:space="0" w:color="auto"/>
        <w:bottom w:val="none" w:sz="0" w:space="0" w:color="auto"/>
        <w:right w:val="none" w:sz="0" w:space="0" w:color="auto"/>
      </w:divBdr>
    </w:div>
    <w:div w:id="266499237">
      <w:bodyDiv w:val="1"/>
      <w:marLeft w:val="0"/>
      <w:marRight w:val="0"/>
      <w:marTop w:val="0"/>
      <w:marBottom w:val="0"/>
      <w:divBdr>
        <w:top w:val="none" w:sz="0" w:space="0" w:color="auto"/>
        <w:left w:val="none" w:sz="0" w:space="0" w:color="auto"/>
        <w:bottom w:val="none" w:sz="0" w:space="0" w:color="auto"/>
        <w:right w:val="none" w:sz="0" w:space="0" w:color="auto"/>
      </w:divBdr>
    </w:div>
    <w:div w:id="542519003">
      <w:bodyDiv w:val="1"/>
      <w:marLeft w:val="0"/>
      <w:marRight w:val="0"/>
      <w:marTop w:val="0"/>
      <w:marBottom w:val="0"/>
      <w:divBdr>
        <w:top w:val="none" w:sz="0" w:space="0" w:color="auto"/>
        <w:left w:val="none" w:sz="0" w:space="0" w:color="auto"/>
        <w:bottom w:val="none" w:sz="0" w:space="0" w:color="auto"/>
        <w:right w:val="none" w:sz="0" w:space="0" w:color="auto"/>
      </w:divBdr>
    </w:div>
    <w:div w:id="757095957">
      <w:bodyDiv w:val="1"/>
      <w:marLeft w:val="0"/>
      <w:marRight w:val="0"/>
      <w:marTop w:val="0"/>
      <w:marBottom w:val="0"/>
      <w:divBdr>
        <w:top w:val="none" w:sz="0" w:space="0" w:color="auto"/>
        <w:left w:val="none" w:sz="0" w:space="0" w:color="auto"/>
        <w:bottom w:val="none" w:sz="0" w:space="0" w:color="auto"/>
        <w:right w:val="none" w:sz="0" w:space="0" w:color="auto"/>
      </w:divBdr>
    </w:div>
    <w:div w:id="18122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A6AB-7A3E-324F-AC50-03157E90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917</Words>
  <Characters>5231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ful-vue</Company>
  <LinksUpToDate>false</LinksUpToDate>
  <CharactersWithSpaces>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Hering</dc:creator>
  <cp:keywords/>
  <cp:lastModifiedBy>John  Aldersley</cp:lastModifiedBy>
  <cp:revision>2</cp:revision>
  <cp:lastPrinted>2011-06-10T03:55:00Z</cp:lastPrinted>
  <dcterms:created xsi:type="dcterms:W3CDTF">2021-12-09T09:41:00Z</dcterms:created>
  <dcterms:modified xsi:type="dcterms:W3CDTF">2021-12-09T09:41:00Z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turnNetOfFee3Month">
    <vt:lpwstr>0</vt:lpwstr>
  </property>
  <property fmtid="{D5CDD505-2E9C-101B-9397-08002B2CF9AE}" pid="3" name="BenchmarkReturn3Month">
    <vt:lpwstr>0</vt:lpwstr>
  </property>
  <property fmtid="{D5CDD505-2E9C-101B-9397-08002B2CF9AE}" pid="4" name="RelativePerformance3Month">
    <vt:lpwstr>0</vt:lpwstr>
  </property>
  <property fmtid="{D5CDD505-2E9C-101B-9397-08002B2CF9AE}" pid="5" name="Portfolio1Month">
    <vt:lpwstr>-4.89</vt:lpwstr>
  </property>
  <property fmtid="{D5CDD505-2E9C-101B-9397-08002B2CF9AE}" pid="6" name="Portfolio3Month">
    <vt:lpwstr>-2.69</vt:lpwstr>
  </property>
  <property fmtid="{D5CDD505-2E9C-101B-9397-08002B2CF9AE}" pid="7" name="Portfolio6Month">
    <vt:lpwstr>0.72</vt:lpwstr>
  </property>
  <property fmtid="{D5CDD505-2E9C-101B-9397-08002B2CF9AE}" pid="8" name="Portfolio12Month">
    <vt:lpwstr>18.82</vt:lpwstr>
  </property>
  <property fmtid="{D5CDD505-2E9C-101B-9397-08002B2CF9AE}" pid="9" name="Portfolio3Years">
    <vt:lpwstr>14.68</vt:lpwstr>
  </property>
  <property fmtid="{D5CDD505-2E9C-101B-9397-08002B2CF9AE}" pid="10" name="PortfolioInceptionPa">
    <vt:lpwstr>12.58</vt:lpwstr>
  </property>
  <property fmtid="{D5CDD505-2E9C-101B-9397-08002B2CF9AE}" pid="11" name="Benchmark1Month">
    <vt:lpwstr>-1.85</vt:lpwstr>
  </property>
  <property fmtid="{D5CDD505-2E9C-101B-9397-08002B2CF9AE}" pid="12" name="Benchmark3Month">
    <vt:lpwstr>1.71</vt:lpwstr>
  </property>
  <property fmtid="{D5CDD505-2E9C-101B-9397-08002B2CF9AE}" pid="13" name="Benchmark6Month">
    <vt:lpwstr>10.14</vt:lpwstr>
  </property>
  <property fmtid="{D5CDD505-2E9C-101B-9397-08002B2CF9AE}" pid="14" name="Benchmark12Month">
    <vt:lpwstr>30.56</vt:lpwstr>
  </property>
  <property fmtid="{D5CDD505-2E9C-101B-9397-08002B2CF9AE}" pid="15" name="Benchmark3Years">
    <vt:lpwstr>9.64</vt:lpwstr>
  </property>
  <property fmtid="{D5CDD505-2E9C-101B-9397-08002B2CF9AE}" pid="16" name="BenchmarkInceptionPa">
    <vt:lpwstr>8.25</vt:lpwstr>
  </property>
  <property fmtid="{D5CDD505-2E9C-101B-9397-08002B2CF9AE}" pid="17" name="Relative1Month">
    <vt:lpwstr>-3.04</vt:lpwstr>
  </property>
  <property fmtid="{D5CDD505-2E9C-101B-9397-08002B2CF9AE}" pid="18" name="Relative3Month">
    <vt:lpwstr>-4.40</vt:lpwstr>
  </property>
  <property fmtid="{D5CDD505-2E9C-101B-9397-08002B2CF9AE}" pid="19" name="Relative6Month">
    <vt:lpwstr>-9.42</vt:lpwstr>
  </property>
  <property fmtid="{D5CDD505-2E9C-101B-9397-08002B2CF9AE}" pid="20" name="Relative12Month">
    <vt:lpwstr>-11.74</vt:lpwstr>
  </property>
  <property fmtid="{D5CDD505-2E9C-101B-9397-08002B2CF9AE}" pid="21" name="Relative3Years">
    <vt:lpwstr>5.04</vt:lpwstr>
  </property>
  <property fmtid="{D5CDD505-2E9C-101B-9397-08002B2CF9AE}" pid="22" name="RelativeInceptionPa">
    <vt:lpwstr>4.33</vt:lpwstr>
  </property>
</Properties>
</file>