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C6" w:rsidRPr="000578E2" w:rsidRDefault="00F257B3" w:rsidP="00D042C6">
      <w:pPr>
        <w:spacing w:after="0"/>
        <w:rPr>
          <w:b/>
          <w:color w:val="595959"/>
          <w:sz w:val="40"/>
        </w:rPr>
      </w:pPr>
      <w:r>
        <w:rPr>
          <w:b/>
          <w:noProof/>
          <w:color w:val="595959"/>
          <w:sz w:val="40"/>
          <w:lang w:val="en-US"/>
        </w:rPr>
        <w:drawing>
          <wp:inline distT="0" distB="0" distL="0" distR="0">
            <wp:extent cx="2667280" cy="1038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67280" cy="1038334"/>
                    </a:xfrm>
                    <a:prstGeom prst="rect">
                      <a:avLst/>
                    </a:prstGeom>
                  </pic:spPr>
                </pic:pic>
              </a:graphicData>
            </a:graphic>
          </wp:inline>
        </w:drawing>
      </w:r>
    </w:p>
    <w:p w:rsidR="00073D80" w:rsidRPr="000578E2" w:rsidRDefault="000A2C55" w:rsidP="00D042C6">
      <w:pPr>
        <w:spacing w:after="0"/>
        <w:rPr>
          <w:b/>
          <w:color w:val="595959"/>
          <w:sz w:val="40"/>
        </w:rPr>
      </w:pPr>
      <w:r>
        <w:rPr>
          <w:b/>
          <w:color w:val="595959"/>
          <w:sz w:val="40"/>
        </w:rPr>
        <w:t>AC Managed Equity Portfolio</w:t>
      </w:r>
    </w:p>
    <w:p w:rsidR="00D042C6" w:rsidRPr="000578E2" w:rsidRDefault="000A2C55" w:rsidP="00D042C6">
      <w:pPr>
        <w:spacing w:after="0"/>
        <w:rPr>
          <w:b/>
          <w:color w:val="595959"/>
          <w:sz w:val="40"/>
        </w:rPr>
      </w:pPr>
      <w:r>
        <w:rPr>
          <w:b/>
          <w:color w:val="595959"/>
          <w:sz w:val="40"/>
        </w:rPr>
        <w:t>March 2021</w:t>
      </w:r>
      <w:r w:rsidR="00D042C6" w:rsidRPr="000578E2">
        <w:rPr>
          <w:b/>
          <w:color w:val="595959"/>
          <w:sz w:val="40"/>
        </w:rPr>
        <w:t xml:space="preserve"> Quarterly Review</w:t>
      </w:r>
    </w:p>
    <w:p w:rsidR="00334718" w:rsidRPr="000578E2" w:rsidRDefault="00334718" w:rsidP="008D5309">
      <w:pPr>
        <w:pStyle w:val="Heading2"/>
        <w:spacing w:before="480"/>
        <w:sectPr w:rsidR="00334718" w:rsidRPr="000578E2" w:rsidSect="009A2283">
          <w:footerReference w:type="even" r:id="rId10"/>
          <w:footerReference w:type="default" r:id="rId11"/>
          <w:type w:val="continuous"/>
          <w:pgSz w:w="11900" w:h="16840"/>
          <w:pgMar w:top="1440" w:right="1410" w:bottom="1440" w:left="1276" w:header="708" w:footer="708" w:gutter="0"/>
          <w:cols w:space="708"/>
        </w:sectPr>
      </w:pPr>
    </w:p>
    <w:p w:rsidR="008F3B18" w:rsidRPr="000578E2" w:rsidRDefault="008F3B18" w:rsidP="008F3B18">
      <w:pPr>
        <w:spacing w:before="120"/>
        <w:jc w:val="both"/>
      </w:pPr>
    </w:p>
    <w:p w:rsidR="00FA00EF" w:rsidRPr="000578E2" w:rsidRDefault="000A2C55" w:rsidP="008F3B18">
      <w:pPr>
        <w:pStyle w:val="Heading2"/>
        <w:spacing w:before="120" w:after="60"/>
      </w:pPr>
      <w:r w:rsidRPr="000578E2">
        <w:t>Portfolio Performance</w:t>
      </w:r>
    </w:p>
    <w:p w:rsidR="00FA00EF" w:rsidRPr="000578E2" w:rsidRDefault="00FA00EF" w:rsidP="008F3B18">
      <w:pPr>
        <w:spacing w:before="120"/>
        <w:ind w:right="-142"/>
        <w:sectPr w:rsidR="00FA00EF" w:rsidRPr="000578E2" w:rsidSect="00334718">
          <w:type w:val="continuous"/>
          <w:pgSz w:w="11900" w:h="16840"/>
          <w:pgMar w:top="1440" w:right="1410" w:bottom="1440" w:left="1276" w:header="708" w:footer="708" w:gutter="0"/>
          <w:cols w:space="708"/>
        </w:sectPr>
      </w:pPr>
    </w:p>
    <w:p w:rsidR="00D16B2C" w:rsidRPr="000578E2" w:rsidRDefault="00D16B2C" w:rsidP="008F3B18">
      <w:pPr>
        <w:spacing w:before="120"/>
        <w:jc w:val="both"/>
        <w:rPr>
          <w:rFonts w:eastAsia="Hiragino Kaku Gothic Pro W6" w:cs="Segoe UI"/>
        </w:rPr>
      </w:pPr>
      <w:r w:rsidRPr="000578E2">
        <w:rPr>
          <w:rFonts w:eastAsia="Hiragino Kaku Gothic Pro W6" w:cs="Segoe UI"/>
        </w:rPr>
        <w:lastRenderedPageBreak/>
        <w:t xml:space="preserve">The </w:t>
      </w:r>
      <w:r>
        <w:rPr>
          <w:rFonts w:eastAsia="Hiragino Kaku Gothic Pro W6" w:cs="Segoe UI"/>
        </w:rPr>
        <w:t>AC Managed Equity Portfolio</w:t>
      </w:r>
      <w:r w:rsidR="00073D80" w:rsidRPr="000578E2">
        <w:rPr>
          <w:rFonts w:eastAsia="Hiragino Kaku Gothic Pro W6" w:cs="Segoe UI"/>
        </w:rPr>
        <w:t xml:space="preserve"> </w:t>
      </w:r>
      <w:r w:rsidRPr="000578E2">
        <w:rPr>
          <w:rFonts w:eastAsia="Hiragino Kaku Gothic Pro W6" w:cs="Segoe UI"/>
        </w:rPr>
        <w:t xml:space="preserve">returned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Portfolio3Month  \* MERGEFORMAT </w:instrText>
      </w:r>
      <w:r w:rsidR="00866748" w:rsidRPr="00720B1A">
        <w:rPr>
          <w:rFonts w:eastAsia="Hiragino Kaku Gothic Pro W6" w:cs="Segoe UI"/>
        </w:rPr>
        <w:fldChar w:fldCharType="separate"/>
      </w:r>
      <w:r w:rsidR="00866748" w:rsidRPr="00720B1A">
        <w:rPr>
          <w:rFonts w:eastAsia="Hiragino Kaku Gothic Pro W6" w:cs="Segoe UI"/>
        </w:rPr>
        <w:t>-8.44</w:t>
      </w:r>
      <w:r w:rsidR="00866748" w:rsidRPr="00720B1A">
        <w:rPr>
          <w:rFonts w:eastAsia="Hiragino Kaku Gothic Pro W6" w:cs="Segoe UI"/>
        </w:rPr>
        <w:fldChar w:fldCharType="end"/>
      </w:r>
      <w:r w:rsidR="00E330B1" w:rsidRPr="00720B1A">
        <w:rPr>
          <w:rFonts w:eastAsia="Hiragino Kaku Gothic Pro W6" w:cs="Segoe UI"/>
        </w:rPr>
        <w:t>%</w:t>
      </w:r>
      <w:r w:rsidR="00930436">
        <w:rPr>
          <w:rFonts w:eastAsia="Hiragino Kaku Gothic Pro W6" w:cs="Segoe UI"/>
        </w:rPr>
        <w:t xml:space="preserve"> compared to the benchmark </w:t>
      </w:r>
      <w:r>
        <w:rPr>
          <w:rFonts w:eastAsia="Hiragino Kaku Gothic Pro W6" w:cs="Segoe UI"/>
        </w:rPr>
        <w:t xml:space="preserve">S&amp;P/ASX 200 (TR) </w:t>
      </w:r>
      <w:r w:rsidRPr="000578E2">
        <w:rPr>
          <w:rFonts w:eastAsia="Hiragino Kaku Gothic Pro W6" w:cs="Segoe UI"/>
        </w:rPr>
        <w:t xml:space="preserve">return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Benchmark3Month  \* MERGEFORMAT </w:instrText>
      </w:r>
      <w:r w:rsidR="00866748" w:rsidRPr="00720B1A">
        <w:rPr>
          <w:rFonts w:eastAsia="Hiragino Kaku Gothic Pro W6" w:cs="Segoe UI"/>
        </w:rPr>
        <w:fldChar w:fldCharType="separate"/>
      </w:r>
      <w:r w:rsidR="00866748" w:rsidRPr="00720B1A">
        <w:rPr>
          <w:rFonts w:eastAsia="Hiragino Kaku Gothic Pro W6" w:cs="Segoe UI"/>
        </w:rPr>
        <w:t>4.26</w:t>
      </w:r>
      <w:r w:rsidR="00866748" w:rsidRPr="00720B1A">
        <w:rPr>
          <w:rFonts w:eastAsia="Hiragino Kaku Gothic Pro W6" w:cs="Segoe UI"/>
        </w:rPr>
        <w:fldChar w:fldCharType="end"/>
      </w:r>
      <w:r w:rsidR="00E330B1" w:rsidRPr="00720B1A">
        <w:rPr>
          <w:rFonts w:eastAsia="Hiragino Kaku Gothic Pro W6" w:cs="Segoe UI"/>
        </w:rPr>
        <w:t>%</w:t>
      </w:r>
      <w:r w:rsidRPr="000578E2">
        <w:rPr>
          <w:rFonts w:eastAsia="Hiragino Kaku Gothic Pro W6" w:cs="Segoe UI"/>
        </w:rPr>
        <w:t xml:space="preserve"> giving a relative performance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Relative3Month  \* MERGEFORMAT </w:instrText>
      </w:r>
      <w:r w:rsidR="00866748" w:rsidRPr="00720B1A">
        <w:rPr>
          <w:rFonts w:eastAsia="Hiragino Kaku Gothic Pro W6" w:cs="Segoe UI"/>
        </w:rPr>
        <w:fldChar w:fldCharType="separate"/>
      </w:r>
      <w:r w:rsidR="00866748" w:rsidRPr="00720B1A">
        <w:rPr>
          <w:rFonts w:eastAsia="Hiragino Kaku Gothic Pro W6" w:cs="Segoe UI"/>
        </w:rPr>
        <w:t>-12.70</w:t>
      </w:r>
      <w:r w:rsidR="00866748" w:rsidRPr="00720B1A">
        <w:rPr>
          <w:rFonts w:eastAsia="Hiragino Kaku Gothic Pro W6" w:cs="Segoe UI"/>
        </w:rPr>
        <w:fldChar w:fldCharType="end"/>
      </w:r>
      <w:r w:rsidR="00E330B1" w:rsidRPr="00720B1A">
        <w:rPr>
          <w:rFonts w:eastAsia="Hiragino Kaku Gothic Pro W6" w:cs="Segoe UI"/>
        </w:rPr>
        <w:t>%</w:t>
      </w:r>
      <w:r w:rsidR="000A2C55" w:rsidRPr="000578E2">
        <w:rPr>
          <w:rFonts w:eastAsia="Hiragino Kaku Gothic Pro W6" w:cs="Segoe UI"/>
        </w:rPr>
        <w:t xml:space="preserve"> </w:t>
      </w:r>
      <w:r w:rsidRPr="000578E2">
        <w:rPr>
          <w:rFonts w:eastAsia="Hiragino Kaku Gothic Pro W6" w:cs="Segoe UI"/>
        </w:rPr>
        <w:t>for the period.</w:t>
      </w:r>
      <w:r w:rsidR="00F257B3">
        <w:rPr>
          <w:rFonts w:eastAsia="Hiragino Kaku Gothic Pro W6" w:cs="Segoe UI"/>
        </w:rPr>
        <w:t xml:space="preserve"> For the rolling year it is 53.77%. </w:t>
      </w:r>
    </w:p>
    <w:p w:rsidR="008F3B18" w:rsidRPr="000578E2" w:rsidRDefault="008F3B18" w:rsidP="008F3B18">
      <w:pPr>
        <w:spacing w:before="120"/>
        <w:jc w:val="both"/>
        <w:rPr>
          <w:rFonts w:eastAsia="Hiragino Kaku Gothic Pro W6" w:cs="Segoe UI"/>
        </w:rPr>
      </w:pPr>
    </w:p>
    <w:p w:rsidR="0056204C" w:rsidRPr="000578E2" w:rsidRDefault="0056204C" w:rsidP="0056204C">
      <w:pPr>
        <w:pStyle w:val="Heading2"/>
        <w:spacing w:before="0"/>
        <w:rPr>
          <w:sz w:val="24"/>
          <w:szCs w:val="24"/>
        </w:rPr>
      </w:pPr>
      <w:r w:rsidRPr="000578E2">
        <w:rPr>
          <w:sz w:val="24"/>
          <w:szCs w:val="24"/>
        </w:rPr>
        <w:t xml:space="preserve">Performance to </w:t>
      </w:r>
      <w:r>
        <w:rPr>
          <w:sz w:val="24"/>
          <w:szCs w:val="24"/>
        </w:rPr>
        <w:t>31 March 2021</w:t>
      </w:r>
    </w:p>
    <w:tbl>
      <w:tblPr>
        <w:tblW w:w="9214" w:type="dxa"/>
        <w:tblInd w:w="108" w:type="dxa"/>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Layout w:type="fixed"/>
        <w:tblLook w:val="04A0" w:firstRow="1" w:lastRow="0" w:firstColumn="1" w:lastColumn="0" w:noHBand="0" w:noVBand="1"/>
      </w:tblPr>
      <w:tblGrid>
        <w:gridCol w:w="1329"/>
        <w:gridCol w:w="1365"/>
        <w:gridCol w:w="1275"/>
        <w:gridCol w:w="1276"/>
        <w:gridCol w:w="1276"/>
        <w:gridCol w:w="1276"/>
        <w:gridCol w:w="1417"/>
      </w:tblGrid>
      <w:tr w:rsidR="00334718" w:rsidRPr="000578E2" w:rsidTr="008F3B18">
        <w:trPr>
          <w:trHeight w:val="1021"/>
        </w:trPr>
        <w:tc>
          <w:tcPr>
            <w:tcW w:w="1329"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Return %</w:t>
            </w:r>
          </w:p>
        </w:tc>
        <w:tc>
          <w:tcPr>
            <w:tcW w:w="1365"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Month</w:t>
            </w:r>
          </w:p>
        </w:tc>
        <w:tc>
          <w:tcPr>
            <w:tcW w:w="1275"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Month</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Six Month</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Year</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Year</w:t>
            </w:r>
          </w:p>
        </w:tc>
        <w:tc>
          <w:tcPr>
            <w:tcW w:w="1417"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Since</w:t>
            </w:r>
            <w:r w:rsidRPr="000578E2">
              <w:rPr>
                <w:rFonts w:eastAsia="Hiragino Kaku Gothic Pro W6" w:cs="Segoe UI"/>
                <w:sz w:val="20"/>
                <w:szCs w:val="20"/>
              </w:rPr>
              <w:br/>
              <w:t>Inception (</w:t>
            </w:r>
            <w:r>
              <w:rPr>
                <w:rFonts w:eastAsia="Hiragino Kaku Gothic Pro W6" w:cs="Segoe UI"/>
                <w:sz w:val="20"/>
                <w:szCs w:val="20"/>
              </w:rPr>
              <w:t>29/10/2013</w:t>
            </w:r>
            <w:r w:rsidRPr="000578E2">
              <w:rPr>
                <w:rFonts w:eastAsia="Hiragino Kaku Gothic Pro W6" w:cs="Segoe UI"/>
                <w:sz w:val="20"/>
                <w:szCs w:val="20"/>
              </w:rPr>
              <w:t>)</w:t>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Portfolio</w:t>
            </w:r>
          </w:p>
        </w:tc>
        <w:tc>
          <w:tcPr>
            <w:tcW w:w="1365" w:type="dxa"/>
            <w:shd w:val="clear" w:color="auto" w:fill="auto"/>
            <w:vAlign w:val="center"/>
          </w:tcPr>
          <w:p w:rsidR="00334718" w:rsidRPr="000578E2" w:rsidRDefault="000939CB"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Portfolio1Month  \* MERGEFORMAT </w:instrText>
            </w:r>
            <w:r w:rsidRPr="000578E2">
              <w:rPr>
                <w:color w:val="000000"/>
                <w:sz w:val="20"/>
                <w:szCs w:val="20"/>
              </w:rPr>
              <w:fldChar w:fldCharType="separate"/>
            </w:r>
            <w:r w:rsidRPr="000578E2">
              <w:rPr>
                <w:color w:val="000000"/>
                <w:sz w:val="20"/>
                <w:szCs w:val="20"/>
              </w:rPr>
              <w:t>-0.17</w:t>
            </w:r>
            <w:r w:rsidRPr="000578E2">
              <w:rPr>
                <w:color w:val="000000"/>
                <w:sz w:val="20"/>
                <w:szCs w:val="20"/>
              </w:rPr>
              <w:fldChar w:fldCharType="end"/>
            </w:r>
          </w:p>
        </w:tc>
        <w:tc>
          <w:tcPr>
            <w:tcW w:w="1275" w:type="dxa"/>
            <w:shd w:val="clear" w:color="auto" w:fill="auto"/>
            <w:vAlign w:val="center"/>
          </w:tcPr>
          <w:p w:rsidR="00334718" w:rsidRPr="000578E2" w:rsidRDefault="00DC7EC9"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Portfolio3Month  \* MERGEFORMAT </w:instrText>
            </w:r>
            <w:r w:rsidRPr="000578E2">
              <w:rPr>
                <w:color w:val="000000"/>
                <w:sz w:val="20"/>
                <w:szCs w:val="20"/>
              </w:rPr>
              <w:fldChar w:fldCharType="separate"/>
            </w:r>
            <w:r w:rsidRPr="000578E2">
              <w:rPr>
                <w:color w:val="000000"/>
                <w:sz w:val="20"/>
                <w:szCs w:val="20"/>
              </w:rPr>
              <w:t>-8.44</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Portfolio6Month  \* MERGEFORMAT </w:instrText>
            </w:r>
            <w:r w:rsidRPr="000578E2">
              <w:rPr>
                <w:color w:val="000000"/>
                <w:sz w:val="20"/>
                <w:szCs w:val="20"/>
              </w:rPr>
              <w:fldChar w:fldCharType="separate"/>
            </w:r>
            <w:r w:rsidRPr="000578E2">
              <w:rPr>
                <w:color w:val="000000"/>
                <w:sz w:val="20"/>
                <w:szCs w:val="20"/>
              </w:rPr>
              <w:t>17.97</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Portfolio12Month  \* MERGEFORMAT </w:instrText>
            </w:r>
            <w:r w:rsidRPr="000578E2">
              <w:rPr>
                <w:color w:val="000000"/>
                <w:sz w:val="20"/>
                <w:szCs w:val="20"/>
              </w:rPr>
              <w:fldChar w:fldCharType="separate"/>
            </w:r>
            <w:r w:rsidRPr="000578E2">
              <w:rPr>
                <w:color w:val="000000"/>
                <w:sz w:val="20"/>
                <w:szCs w:val="20"/>
              </w:rPr>
              <w:t>53.67</w:t>
            </w:r>
            <w:r w:rsidRPr="000578E2">
              <w:rPr>
                <w:color w:val="000000"/>
                <w:sz w:val="20"/>
                <w:szCs w:val="20"/>
              </w:rPr>
              <w:fldChar w:fldCharType="end"/>
            </w:r>
          </w:p>
        </w:tc>
        <w:tc>
          <w:tcPr>
            <w:tcW w:w="1276" w:type="dxa"/>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Portfolio3Years  \* MERGEFORMAT </w:instrText>
            </w:r>
            <w:r w:rsidRPr="000578E2">
              <w:rPr>
                <w:color w:val="000000"/>
                <w:sz w:val="20"/>
                <w:szCs w:val="20"/>
              </w:rPr>
              <w:fldChar w:fldCharType="separate"/>
            </w:r>
            <w:r w:rsidRPr="000578E2">
              <w:rPr>
                <w:color w:val="000000"/>
                <w:sz w:val="20"/>
                <w:szCs w:val="20"/>
              </w:rPr>
              <w:t>18.34</w:t>
            </w:r>
            <w:r w:rsidRPr="000578E2">
              <w:rPr>
                <w:color w:val="000000"/>
                <w:sz w:val="20"/>
                <w:szCs w:val="20"/>
              </w:rPr>
              <w:fldChar w:fldCharType="end"/>
            </w:r>
          </w:p>
        </w:tc>
        <w:tc>
          <w:tcPr>
            <w:tcW w:w="1417" w:type="dxa"/>
            <w:shd w:val="clear" w:color="auto" w:fill="auto"/>
            <w:vAlign w:val="center"/>
          </w:tcPr>
          <w:p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PortfolioInceptionPa  \* MERGEFORMAT </w:instrText>
            </w:r>
            <w:r w:rsidRPr="000578E2">
              <w:rPr>
                <w:color w:val="000000"/>
                <w:sz w:val="20"/>
                <w:szCs w:val="20"/>
              </w:rPr>
              <w:fldChar w:fldCharType="separate"/>
            </w:r>
            <w:r w:rsidRPr="000578E2">
              <w:rPr>
                <w:color w:val="000000"/>
                <w:sz w:val="20"/>
                <w:szCs w:val="20"/>
              </w:rPr>
              <w:t>13.37</w:t>
            </w:r>
            <w:r w:rsidRPr="000578E2">
              <w:rPr>
                <w:color w:val="000000"/>
                <w:sz w:val="20"/>
                <w:szCs w:val="20"/>
              </w:rPr>
              <w:fldChar w:fldCharType="end"/>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Benchmark</w:t>
            </w:r>
          </w:p>
        </w:tc>
        <w:tc>
          <w:tcPr>
            <w:tcW w:w="1365"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Benchmark1Month  \* MERGEFORMAT </w:instrText>
            </w:r>
            <w:r w:rsidRPr="000578E2">
              <w:rPr>
                <w:color w:val="000000"/>
                <w:sz w:val="20"/>
                <w:szCs w:val="20"/>
              </w:rPr>
              <w:fldChar w:fldCharType="separate"/>
            </w:r>
            <w:r w:rsidRPr="000578E2">
              <w:rPr>
                <w:color w:val="000000"/>
                <w:sz w:val="20"/>
                <w:szCs w:val="20"/>
              </w:rPr>
              <w:t>2.44</w:t>
            </w:r>
            <w:r w:rsidRPr="000578E2">
              <w:rPr>
                <w:color w:val="000000"/>
                <w:sz w:val="20"/>
                <w:szCs w:val="20"/>
              </w:rPr>
              <w:fldChar w:fldCharType="end"/>
            </w:r>
          </w:p>
        </w:tc>
        <w:tc>
          <w:tcPr>
            <w:tcW w:w="1275"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Benchmark3Month  \* MERGEFORMAT </w:instrText>
            </w:r>
            <w:r w:rsidRPr="000578E2">
              <w:rPr>
                <w:color w:val="000000"/>
                <w:sz w:val="20"/>
                <w:szCs w:val="20"/>
              </w:rPr>
              <w:fldChar w:fldCharType="separate"/>
            </w:r>
            <w:r w:rsidRPr="000578E2">
              <w:rPr>
                <w:color w:val="000000"/>
                <w:sz w:val="20"/>
                <w:szCs w:val="20"/>
              </w:rPr>
              <w:t>4.26</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Benchmark6Month  \* MERGEFORMAT </w:instrText>
            </w:r>
            <w:r w:rsidRPr="000578E2">
              <w:rPr>
                <w:color w:val="000000"/>
                <w:sz w:val="20"/>
                <w:szCs w:val="20"/>
              </w:rPr>
              <w:fldChar w:fldCharType="separate"/>
            </w:r>
            <w:r w:rsidRPr="000578E2">
              <w:rPr>
                <w:color w:val="000000"/>
                <w:sz w:val="20"/>
                <w:szCs w:val="20"/>
              </w:rPr>
              <w:t>18.54</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Benchmark12Month  \* MERGEFORMAT </w:instrText>
            </w:r>
            <w:r w:rsidRPr="000578E2">
              <w:rPr>
                <w:color w:val="000000"/>
                <w:sz w:val="20"/>
                <w:szCs w:val="20"/>
              </w:rPr>
              <w:fldChar w:fldCharType="separate"/>
            </w:r>
            <w:r w:rsidRPr="000578E2">
              <w:rPr>
                <w:color w:val="000000"/>
                <w:sz w:val="20"/>
                <w:szCs w:val="20"/>
              </w:rPr>
              <w:t>37.47</w:t>
            </w:r>
            <w:r w:rsidRPr="000578E2">
              <w:rPr>
                <w:color w:val="000000"/>
                <w:sz w:val="20"/>
                <w:szCs w:val="20"/>
              </w:rPr>
              <w:fldChar w:fldCharType="end"/>
            </w:r>
          </w:p>
        </w:tc>
        <w:tc>
          <w:tcPr>
            <w:tcW w:w="1276" w:type="dxa"/>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Benchmark3Years  \* MERGEFORMAT </w:instrText>
            </w:r>
            <w:r w:rsidRPr="000578E2">
              <w:rPr>
                <w:color w:val="000000"/>
                <w:sz w:val="20"/>
                <w:szCs w:val="20"/>
              </w:rPr>
              <w:fldChar w:fldCharType="separate"/>
            </w:r>
            <w:r w:rsidRPr="000578E2">
              <w:rPr>
                <w:color w:val="000000"/>
                <w:sz w:val="20"/>
                <w:szCs w:val="20"/>
              </w:rPr>
              <w:t>9.64</w:t>
            </w:r>
            <w:r w:rsidRPr="000578E2">
              <w:rPr>
                <w:color w:val="000000"/>
                <w:sz w:val="20"/>
                <w:szCs w:val="20"/>
              </w:rPr>
              <w:fldChar w:fldCharType="end"/>
            </w:r>
          </w:p>
        </w:tc>
        <w:tc>
          <w:tcPr>
            <w:tcW w:w="1417" w:type="dxa"/>
            <w:shd w:val="clear" w:color="auto" w:fill="auto"/>
            <w:vAlign w:val="center"/>
          </w:tcPr>
          <w:p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BenchmarkInceptionPa  \* MERGEFORMAT </w:instrText>
            </w:r>
            <w:r w:rsidRPr="000578E2">
              <w:rPr>
                <w:color w:val="000000"/>
                <w:sz w:val="20"/>
                <w:szCs w:val="20"/>
              </w:rPr>
              <w:fldChar w:fldCharType="separate"/>
            </w:r>
            <w:r w:rsidRPr="000578E2">
              <w:rPr>
                <w:color w:val="000000"/>
                <w:sz w:val="20"/>
                <w:szCs w:val="20"/>
              </w:rPr>
              <w:t>7.42</w:t>
            </w:r>
            <w:r w:rsidRPr="000578E2">
              <w:rPr>
                <w:color w:val="000000"/>
                <w:sz w:val="20"/>
                <w:szCs w:val="20"/>
              </w:rPr>
              <w:fldChar w:fldCharType="end"/>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b/>
                <w:sz w:val="20"/>
                <w:szCs w:val="20"/>
              </w:rPr>
            </w:pPr>
            <w:r w:rsidRPr="000578E2">
              <w:rPr>
                <w:rFonts w:eastAsia="Hiragino Kaku Gothic Pro W6" w:cs="Segoe UI"/>
                <w:b/>
                <w:sz w:val="20"/>
                <w:szCs w:val="20"/>
              </w:rPr>
              <w:t>Relative Performance</w:t>
            </w:r>
          </w:p>
        </w:tc>
        <w:tc>
          <w:tcPr>
            <w:tcW w:w="1365"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Relative1Month  \* MERGEFORMAT </w:instrText>
            </w:r>
            <w:r w:rsidRPr="000578E2">
              <w:rPr>
                <w:b/>
                <w:color w:val="000000"/>
                <w:sz w:val="20"/>
                <w:szCs w:val="20"/>
              </w:rPr>
              <w:fldChar w:fldCharType="separate"/>
            </w:r>
            <w:r w:rsidRPr="000578E2">
              <w:rPr>
                <w:b/>
                <w:color w:val="000000"/>
                <w:sz w:val="20"/>
                <w:szCs w:val="20"/>
              </w:rPr>
              <w:t>-2.61</w:t>
            </w:r>
            <w:r w:rsidRPr="000578E2">
              <w:rPr>
                <w:b/>
                <w:color w:val="000000"/>
                <w:sz w:val="20"/>
                <w:szCs w:val="20"/>
              </w:rPr>
              <w:fldChar w:fldCharType="end"/>
            </w:r>
          </w:p>
        </w:tc>
        <w:tc>
          <w:tcPr>
            <w:tcW w:w="1275"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Relative3Month  \* MERGEFORMAT </w:instrText>
            </w:r>
            <w:r w:rsidRPr="000578E2">
              <w:rPr>
                <w:b/>
                <w:color w:val="000000"/>
                <w:sz w:val="20"/>
                <w:szCs w:val="20"/>
              </w:rPr>
              <w:fldChar w:fldCharType="separate"/>
            </w:r>
            <w:r w:rsidRPr="000578E2">
              <w:rPr>
                <w:b/>
                <w:color w:val="000000"/>
                <w:sz w:val="20"/>
                <w:szCs w:val="20"/>
              </w:rPr>
              <w:t>-12.70</w:t>
            </w:r>
            <w:r w:rsidRPr="000578E2">
              <w:rPr>
                <w:b/>
                <w:color w:val="000000"/>
                <w:sz w:val="20"/>
                <w:szCs w:val="20"/>
              </w:rPr>
              <w:fldChar w:fldCharType="end"/>
            </w:r>
          </w:p>
        </w:tc>
        <w:tc>
          <w:tcPr>
            <w:tcW w:w="1276"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Relative6Month  \* MERGEFORMAT </w:instrText>
            </w:r>
            <w:r w:rsidRPr="000578E2">
              <w:rPr>
                <w:b/>
                <w:color w:val="000000"/>
                <w:sz w:val="20"/>
                <w:szCs w:val="20"/>
              </w:rPr>
              <w:fldChar w:fldCharType="separate"/>
            </w:r>
            <w:r w:rsidRPr="000578E2">
              <w:rPr>
                <w:b/>
                <w:color w:val="000000"/>
                <w:sz w:val="20"/>
                <w:szCs w:val="20"/>
              </w:rPr>
              <w:t>-0.57</w:t>
            </w:r>
            <w:r w:rsidRPr="000578E2">
              <w:rPr>
                <w:b/>
                <w:color w:val="000000"/>
                <w:sz w:val="20"/>
                <w:szCs w:val="20"/>
              </w:rPr>
              <w:fldChar w:fldCharType="end"/>
            </w:r>
          </w:p>
        </w:tc>
        <w:tc>
          <w:tcPr>
            <w:tcW w:w="1276"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Relative12Month  \* MERGEFORMAT </w:instrText>
            </w:r>
            <w:r w:rsidRPr="000578E2">
              <w:rPr>
                <w:b/>
                <w:color w:val="000000"/>
                <w:sz w:val="20"/>
                <w:szCs w:val="20"/>
              </w:rPr>
              <w:fldChar w:fldCharType="separate"/>
            </w:r>
            <w:r w:rsidRPr="000578E2">
              <w:rPr>
                <w:b/>
                <w:color w:val="000000"/>
                <w:sz w:val="20"/>
                <w:szCs w:val="20"/>
              </w:rPr>
              <w:t>16.20</w:t>
            </w:r>
            <w:r w:rsidRPr="000578E2">
              <w:rPr>
                <w:b/>
                <w:color w:val="000000"/>
                <w:sz w:val="20"/>
                <w:szCs w:val="20"/>
              </w:rPr>
              <w:fldChar w:fldCharType="end"/>
            </w:r>
          </w:p>
        </w:tc>
        <w:tc>
          <w:tcPr>
            <w:tcW w:w="1276" w:type="dxa"/>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Relative3Years  \* MERGEFORMAT </w:instrText>
            </w:r>
            <w:r w:rsidRPr="000578E2">
              <w:rPr>
                <w:b/>
                <w:color w:val="000000"/>
                <w:sz w:val="20"/>
                <w:szCs w:val="20"/>
              </w:rPr>
              <w:fldChar w:fldCharType="separate"/>
            </w:r>
            <w:r w:rsidRPr="000578E2">
              <w:rPr>
                <w:b/>
                <w:color w:val="000000"/>
                <w:sz w:val="20"/>
                <w:szCs w:val="20"/>
              </w:rPr>
              <w:t>8.70</w:t>
            </w:r>
            <w:r w:rsidRPr="000578E2">
              <w:rPr>
                <w:b/>
                <w:color w:val="000000"/>
                <w:sz w:val="20"/>
                <w:szCs w:val="20"/>
              </w:rPr>
              <w:fldChar w:fldCharType="end"/>
            </w:r>
          </w:p>
        </w:tc>
        <w:tc>
          <w:tcPr>
            <w:tcW w:w="1417"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RelativeInceptionPa  \* MERGEFORMAT </w:instrText>
            </w:r>
            <w:r w:rsidRPr="000578E2">
              <w:rPr>
                <w:b/>
                <w:color w:val="000000"/>
                <w:sz w:val="20"/>
                <w:szCs w:val="20"/>
              </w:rPr>
              <w:fldChar w:fldCharType="separate"/>
            </w:r>
            <w:r w:rsidRPr="000578E2">
              <w:rPr>
                <w:b/>
                <w:color w:val="000000"/>
                <w:sz w:val="20"/>
                <w:szCs w:val="20"/>
              </w:rPr>
              <w:t>5.95</w:t>
            </w:r>
            <w:r w:rsidRPr="000578E2">
              <w:rPr>
                <w:b/>
                <w:color w:val="000000"/>
                <w:sz w:val="20"/>
                <w:szCs w:val="20"/>
              </w:rPr>
              <w:fldChar w:fldCharType="end"/>
            </w:r>
          </w:p>
        </w:tc>
      </w:tr>
    </w:tbl>
    <w:p w:rsidR="008D5309" w:rsidRPr="000578E2" w:rsidRDefault="008D5309" w:rsidP="008D5309">
      <w:pPr>
        <w:spacing w:after="0"/>
        <w:jc w:val="both"/>
        <w:rPr>
          <w:rFonts w:eastAsia="Hiragino Kaku Gothic Pro W6" w:cs="Segoe UI"/>
          <w:sz w:val="16"/>
          <w:szCs w:val="16"/>
        </w:rPr>
      </w:pPr>
      <w:r w:rsidRPr="000578E2">
        <w:rPr>
          <w:rFonts w:eastAsia="Hiragino Kaku Gothic Pro W6" w:cs="Segoe UI"/>
          <w:sz w:val="16"/>
          <w:szCs w:val="16"/>
        </w:rPr>
        <w:t>The table above sets out the investment performance returns (AFTER investment management fees, but BEFORE administration fees, performance based fees and taxes) for the Portfolio. The performance returns have been calculated on a daily basis taking into account brokerage costs, and are accumulated for the period shown. Returns are shown as annualised if the period is over 1 year, or as total returns otherwise.</w:t>
      </w:r>
    </w:p>
    <w:p w:rsidR="008D5309" w:rsidRPr="000578E2" w:rsidRDefault="000A2C55" w:rsidP="008F3B18">
      <w:pPr>
        <w:pStyle w:val="Heading2"/>
        <w:spacing w:before="120" w:after="60"/>
        <w:rPr>
          <w:rFonts w:eastAsia="Hiragino Kaku Gothic Pro W6" w:cs="Segoe UI"/>
          <w:b w:val="0"/>
          <w:color w:val="1F497D"/>
          <w:sz w:val="24"/>
          <w:szCs w:val="24"/>
        </w:rPr>
      </w:pPr>
      <w:r w:rsidRPr="000578E2">
        <w:t>Quarterly Review</w:t>
      </w:r>
    </w:p>
    <w:p w:rsidR="00AC1A85" w:rsidRPr="000578E2" w:rsidRDefault="00F257B3" w:rsidP="00382DB8">
      <w:pPr>
        <w:spacing w:before="120"/>
        <w:jc w:val="both"/>
        <w:rPr>
          <w:rFonts w:eastAsia="Hiragino Kaku Gothic Pro W6" w:cs="Segoe UI"/>
        </w:rPr>
      </w:pPr>
      <w:r>
        <w:rPr>
          <w:rFonts w:eastAsia="Hiragino Kaku Gothic Pro W6" w:cs="Segoe UI"/>
        </w:rPr>
        <w:t xml:space="preserve">The March quarter proved elusive from a positive performance standpoint. Some of the high flying stocks of the past year gave up significant ground as investors tended towards value plays away from pure growth companies. That was not unexpected but the portfolio was positioned towards a correction after the January rally, with gold positions and gold stocks, and even a synthetic short position over the NASDAQ. However an early correction stopped as soothing noises came from governments that stimulation </w:t>
      </w:r>
      <w:r w:rsidR="00AC1A85">
        <w:rPr>
          <w:rFonts w:eastAsia="Hiragino Kaku Gothic Pro W6" w:cs="Segoe UI"/>
        </w:rPr>
        <w:t>and low interest rates would continue into 2023 and inflation was not seen as a concern</w:t>
      </w:r>
      <w:r>
        <w:rPr>
          <w:rFonts w:eastAsia="Hiragino Kaku Gothic Pro W6" w:cs="Segoe UI"/>
        </w:rPr>
        <w:t>. A couple of unexpected downgrades affected a couple of other holdings. The rally continued, but our underweighting in f</w:t>
      </w:r>
      <w:r w:rsidR="00AC1A85">
        <w:rPr>
          <w:rFonts w:eastAsia="Hiragino Kaku Gothic Pro W6" w:cs="Segoe UI"/>
        </w:rPr>
        <w:t>inancials and oils cost relativ</w:t>
      </w:r>
      <w:r>
        <w:rPr>
          <w:rFonts w:eastAsia="Hiragino Kaku Gothic Pro W6" w:cs="Segoe UI"/>
        </w:rPr>
        <w:t>e performance</w:t>
      </w:r>
      <w:r w:rsidR="00AC1A85">
        <w:rPr>
          <w:rFonts w:eastAsia="Hiragino Kaku Gothic Pro W6" w:cs="Segoe UI"/>
        </w:rPr>
        <w:t xml:space="preserve"> and the overweight materials didn’t help despite surging iron ore and other commodity prices</w:t>
      </w:r>
      <w:r>
        <w:rPr>
          <w:rFonts w:eastAsia="Hiragino Kaku Gothic Pro W6" w:cs="Segoe UI"/>
        </w:rPr>
        <w:t>.</w:t>
      </w:r>
    </w:p>
    <w:p w:rsidR="00382DB8" w:rsidRPr="000578E2" w:rsidRDefault="00382DB8" w:rsidP="00382DB8">
      <w:pPr>
        <w:spacing w:before="120"/>
        <w:jc w:val="both"/>
        <w:rPr>
          <w:rFonts w:eastAsia="Hiragino Kaku Gothic Pro W6" w:cs="Segoe UI"/>
        </w:rPr>
      </w:pPr>
    </w:p>
    <w:p w:rsidR="008F3B18" w:rsidRPr="000578E2" w:rsidRDefault="008F3B18" w:rsidP="008D5309">
      <w:pPr>
        <w:rPr>
          <w:rFonts w:eastAsia="Hiragino Kaku Gothic Pro W6" w:cs="Segoe UI"/>
          <w:b/>
          <w:color w:val="1F497D"/>
        </w:rPr>
      </w:pPr>
    </w:p>
    <w:p w:rsidR="008D5309" w:rsidRPr="000578E2" w:rsidRDefault="0056204C" w:rsidP="008F3B18">
      <w:pPr>
        <w:pStyle w:val="Heading2"/>
        <w:spacing w:before="120" w:after="60"/>
        <w:rPr>
          <w:sz w:val="24"/>
          <w:szCs w:val="24"/>
        </w:rPr>
      </w:pPr>
      <w:r w:rsidRPr="000578E2">
        <w:rPr>
          <w:sz w:val="24"/>
          <w:szCs w:val="24"/>
        </w:rPr>
        <w:lastRenderedPageBreak/>
        <w:t xml:space="preserve">Top </w:t>
      </w:r>
      <w:r>
        <w:rPr>
          <w:sz w:val="24"/>
          <w:szCs w:val="24"/>
        </w:rPr>
        <w:t>5</w:t>
      </w:r>
      <w:r w:rsidRPr="000578E2">
        <w:rPr>
          <w:sz w:val="24"/>
          <w:szCs w:val="24"/>
        </w:rPr>
        <w:t xml:space="preserve"> stocks by weight as at </w:t>
      </w:r>
      <w:r>
        <w:rPr>
          <w:sz w:val="24"/>
          <w:szCs w:val="24"/>
        </w:rPr>
        <w:t>31 March 2021</w:t>
      </w:r>
    </w:p>
    <w:tbl>
      <w:tblPr>
        <w:tblW w:w="0" w:type="auto"/>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CellMar>
          <w:top w:w="60" w:type="dxa"/>
          <w:bottom w:w="60" w:type="dxa"/>
        </w:tblCellMar>
        <w:tblLook w:val="04A0" w:firstRow="1" w:lastRow="0" w:firstColumn="1" w:lastColumn="0" w:noHBand="0" w:noVBand="1"/>
      </w:tblPr>
      <w:tblGrid>
        <w:gridCol w:w="3827"/>
        <w:gridCol w:w="3119"/>
      </w:tblGrid>
      <w:tr w:rsidR="009A2283" w:rsidRPr="000578E2" w:rsidTr="004734B1">
        <w:tc>
          <w:tcPr>
            <w:tcW w:w="3827" w:type="dxa"/>
            <w:tcBorders>
              <w:bottom w:val="single" w:sz="4" w:space="0" w:color="91CFE6"/>
            </w:tcBorders>
            <w:shd w:val="clear" w:color="auto" w:fill="91CFE6"/>
            <w:tcMar>
              <w:top w:w="45" w:type="dxa"/>
              <w:bottom w:w="45" w:type="dxa"/>
            </w:tcMar>
            <w:vAlign w:val="center"/>
          </w:tcPr>
          <w:p w:rsidR="009A2283" w:rsidRPr="000578E2" w:rsidRDefault="009A2283" w:rsidP="00A96812">
            <w:pPr>
              <w:rPr>
                <w:rFonts w:cs="Calibri"/>
                <w:b/>
                <w:color w:val="000000"/>
              </w:rPr>
            </w:pPr>
            <w:r w:rsidRPr="000578E2">
              <w:rPr>
                <w:rFonts w:cs="Calibri"/>
                <w:b/>
                <w:color w:val="000000"/>
              </w:rPr>
              <w:t>Company Name</w:t>
            </w:r>
          </w:p>
        </w:tc>
        <w:tc>
          <w:tcPr>
            <w:tcW w:w="3119" w:type="dxa"/>
            <w:tcBorders>
              <w:bottom w:val="single" w:sz="4" w:space="0" w:color="91CFE6"/>
            </w:tcBorders>
            <w:shd w:val="clear" w:color="auto" w:fill="91CFE6"/>
            <w:tcMar>
              <w:top w:w="45" w:type="dxa"/>
              <w:bottom w:w="45" w:type="dxa"/>
            </w:tcMar>
            <w:vAlign w:val="center"/>
          </w:tcPr>
          <w:p w:rsidR="009A2283" w:rsidRPr="000578E2" w:rsidRDefault="009A2283" w:rsidP="00A96812">
            <w:pPr>
              <w:rPr>
                <w:rFonts w:cs="Calibri"/>
                <w:b/>
                <w:color w:val="000000"/>
              </w:rPr>
            </w:pPr>
            <w:r w:rsidRPr="000578E2">
              <w:rPr>
                <w:rFonts w:cs="Calibri"/>
                <w:b/>
                <w:color w:val="000000"/>
              </w:rPr>
              <w:t>Sector</w:t>
            </w:r>
          </w:p>
        </w:tc>
      </w:tr>
      <w:tr w:rsidR="00C1178D">
        <w:tc>
          <w:tcPr>
            <w:tcW w:w="2310" w:type="dxa"/>
          </w:tcPr>
          <w:p w:rsidR="00C1178D" w:rsidRDefault="00F257B3">
            <w:r>
              <w:t>BELLEVUE GOLD LTD ORDINARY</w:t>
            </w:r>
          </w:p>
        </w:tc>
        <w:tc>
          <w:tcPr>
            <w:tcW w:w="2310" w:type="dxa"/>
          </w:tcPr>
          <w:p w:rsidR="00C1178D" w:rsidRDefault="00F257B3">
            <w:r>
              <w:t>Materials</w:t>
            </w:r>
          </w:p>
        </w:tc>
      </w:tr>
      <w:tr w:rsidR="00C1178D">
        <w:tc>
          <w:tcPr>
            <w:tcW w:w="2310" w:type="dxa"/>
          </w:tcPr>
          <w:p w:rsidR="00C1178D" w:rsidRDefault="00F257B3">
            <w:r>
              <w:t>RELIANCE WORLDWIDE ORDINARY</w:t>
            </w:r>
          </w:p>
        </w:tc>
        <w:tc>
          <w:tcPr>
            <w:tcW w:w="2310" w:type="dxa"/>
          </w:tcPr>
          <w:p w:rsidR="00C1178D" w:rsidRDefault="00F257B3">
            <w:r>
              <w:t>Industrials</w:t>
            </w:r>
          </w:p>
        </w:tc>
      </w:tr>
      <w:tr w:rsidR="00C1178D">
        <w:tc>
          <w:tcPr>
            <w:tcW w:w="2310" w:type="dxa"/>
          </w:tcPr>
          <w:p w:rsidR="00C1178D" w:rsidRDefault="00F257B3">
            <w:r>
              <w:t>NORTHERN STAR ORDINARY</w:t>
            </w:r>
          </w:p>
        </w:tc>
        <w:tc>
          <w:tcPr>
            <w:tcW w:w="2310" w:type="dxa"/>
          </w:tcPr>
          <w:p w:rsidR="00C1178D" w:rsidRDefault="00F257B3">
            <w:r>
              <w:t>Materials</w:t>
            </w:r>
          </w:p>
        </w:tc>
      </w:tr>
      <w:tr w:rsidR="00C1178D">
        <w:tc>
          <w:tcPr>
            <w:tcW w:w="2310" w:type="dxa"/>
          </w:tcPr>
          <w:p w:rsidR="00C1178D" w:rsidRDefault="00F257B3">
            <w:r>
              <w:t>MAGELLAN FIN GRP LTD ORDINARY</w:t>
            </w:r>
          </w:p>
        </w:tc>
        <w:tc>
          <w:tcPr>
            <w:tcW w:w="2310" w:type="dxa"/>
          </w:tcPr>
          <w:p w:rsidR="00C1178D" w:rsidRDefault="00F257B3">
            <w:r>
              <w:t>Financials</w:t>
            </w:r>
          </w:p>
        </w:tc>
      </w:tr>
      <w:tr w:rsidR="00C1178D">
        <w:tc>
          <w:tcPr>
            <w:tcW w:w="2310" w:type="dxa"/>
          </w:tcPr>
          <w:p w:rsidR="00C1178D" w:rsidRDefault="00F257B3">
            <w:r>
              <w:t>FORTESCUE METALS GRP ORDINARY</w:t>
            </w:r>
          </w:p>
        </w:tc>
        <w:tc>
          <w:tcPr>
            <w:tcW w:w="2310" w:type="dxa"/>
          </w:tcPr>
          <w:p w:rsidR="00C1178D" w:rsidRDefault="00F257B3">
            <w:r>
              <w:t>Materials</w:t>
            </w:r>
          </w:p>
        </w:tc>
      </w:tr>
    </w:tbl>
    <w:p w:rsidR="008833C7" w:rsidRDefault="008833C7" w:rsidP="008F3B18">
      <w:pPr>
        <w:pStyle w:val="Heading2"/>
        <w:spacing w:before="120" w:after="60"/>
      </w:pPr>
    </w:p>
    <w:p w:rsidR="008D5309" w:rsidRPr="000578E2" w:rsidRDefault="000A2C55" w:rsidP="008F3B18">
      <w:pPr>
        <w:pStyle w:val="Heading2"/>
        <w:spacing w:before="120" w:after="60"/>
      </w:pPr>
      <w:r w:rsidRPr="000578E2">
        <w:t>Market Outlook</w:t>
      </w:r>
    </w:p>
    <w:p w:rsidR="00382DB8" w:rsidRDefault="00AC1A85" w:rsidP="00382DB8">
      <w:pPr>
        <w:spacing w:before="120"/>
        <w:jc w:val="both"/>
        <w:rPr>
          <w:rFonts w:eastAsia="Hiragino Kaku Gothic Pro W6" w:cs="Segoe UI"/>
        </w:rPr>
      </w:pPr>
      <w:r>
        <w:rPr>
          <w:rFonts w:eastAsia="Hiragino Kaku Gothic Pro W6" w:cs="Segoe UI"/>
        </w:rPr>
        <w:t xml:space="preserve">The consensus of the market is that governments around the world are committed to stimulation for the net couple of years, and so far, </w:t>
      </w:r>
      <w:r w:rsidR="00B56728">
        <w:rPr>
          <w:rFonts w:eastAsia="Hiragino Kaku Gothic Pro W6" w:cs="Segoe UI"/>
        </w:rPr>
        <w:t>despite</w:t>
      </w:r>
      <w:r>
        <w:rPr>
          <w:rFonts w:eastAsia="Hiragino Kaku Gothic Pro W6" w:cs="Segoe UI"/>
        </w:rPr>
        <w:t xml:space="preserve"> the odd twitch in long term bond yields, </w:t>
      </w:r>
      <w:r w:rsidR="00B56728">
        <w:rPr>
          <w:rFonts w:eastAsia="Hiragino Kaku Gothic Pro W6" w:cs="Segoe UI"/>
        </w:rPr>
        <w:t>believe</w:t>
      </w:r>
      <w:r>
        <w:rPr>
          <w:rFonts w:eastAsia="Hiragino Kaku Gothic Pro W6" w:cs="Segoe UI"/>
        </w:rPr>
        <w:t xml:space="preserve"> the policymakers that underlying inflation is under control. While this view holds, markets will tend to drift up under the benefit of rising earnings from most companies.</w:t>
      </w:r>
    </w:p>
    <w:p w:rsidR="00B56728" w:rsidRDefault="00AC1A85" w:rsidP="00AC1A85">
      <w:pPr>
        <w:spacing w:before="120"/>
        <w:jc w:val="both"/>
        <w:rPr>
          <w:rFonts w:eastAsia="Hiragino Kaku Gothic Pro W6" w:cs="Segoe UI"/>
        </w:rPr>
      </w:pPr>
      <w:r>
        <w:rPr>
          <w:rFonts w:eastAsia="Hiragino Kaku Gothic Pro W6" w:cs="Segoe UI"/>
        </w:rPr>
        <w:t xml:space="preserve">I’ve been around long enough to be sceptical </w:t>
      </w:r>
      <w:r w:rsidR="00B56728">
        <w:rPr>
          <w:rFonts w:eastAsia="Hiragino Kaku Gothic Pro W6" w:cs="Segoe UI"/>
        </w:rPr>
        <w:t>of</w:t>
      </w:r>
      <w:r>
        <w:rPr>
          <w:rFonts w:eastAsia="Hiragino Kaku Gothic Pro W6" w:cs="Segoe UI"/>
        </w:rPr>
        <w:t xml:space="preserve"> </w:t>
      </w:r>
      <w:proofErr w:type="gramStart"/>
      <w:r>
        <w:rPr>
          <w:rFonts w:eastAsia="Hiragino Kaku Gothic Pro W6" w:cs="Segoe UI"/>
        </w:rPr>
        <w:t>governments</w:t>
      </w:r>
      <w:proofErr w:type="gramEnd"/>
      <w:r>
        <w:rPr>
          <w:rFonts w:eastAsia="Hiragino Kaku Gothic Pro W6" w:cs="Segoe UI"/>
        </w:rPr>
        <w:t xml:space="preserve"> controlling interest rates indefinitely. If current rises in intermediary and final goods prices are not just because of </w:t>
      </w:r>
      <w:proofErr w:type="spellStart"/>
      <w:r>
        <w:rPr>
          <w:rFonts w:eastAsia="Hiragino Kaku Gothic Pro W6" w:cs="Segoe UI"/>
        </w:rPr>
        <w:t>covid</w:t>
      </w:r>
      <w:proofErr w:type="spellEnd"/>
      <w:r>
        <w:rPr>
          <w:rFonts w:eastAsia="Hiragino Kaku Gothic Pro W6" w:cs="Segoe UI"/>
        </w:rPr>
        <w:t xml:space="preserve"> supply constraints, but are indeed a symptom of runaway government monetary expansion, then at some point in the future we must expect a reaction. </w:t>
      </w:r>
      <w:r w:rsidR="00B56728">
        <w:rPr>
          <w:rFonts w:eastAsia="Hiragino Kaku Gothic Pro W6" w:cs="Segoe UI"/>
        </w:rPr>
        <w:t>Runaway asset prices in home prices around the globe are another concern. The new economics suggests governments can expand money supply indefinitely.  Last century economists like John Maynard Keynes, Irving Fisher and Milton Friedman would be vocal critics of this policy.</w:t>
      </w:r>
    </w:p>
    <w:p w:rsidR="006071C3" w:rsidRDefault="00B56728" w:rsidP="00AC1A85">
      <w:pPr>
        <w:spacing w:before="120"/>
        <w:jc w:val="both"/>
        <w:rPr>
          <w:rFonts w:eastAsia="Hiragino Kaku Gothic Pro W6" w:cs="Segoe UI"/>
        </w:rPr>
      </w:pPr>
      <w:r>
        <w:rPr>
          <w:rFonts w:eastAsia="Hiragino Kaku Gothic Pro W6" w:cs="Segoe UI"/>
        </w:rPr>
        <w:t xml:space="preserve">It is what it is.  Managing a portfolio </w:t>
      </w:r>
      <w:proofErr w:type="spellStart"/>
      <w:r>
        <w:rPr>
          <w:rFonts w:eastAsia="Hiragino Kaku Gothic Pro W6" w:cs="Segoe UI"/>
        </w:rPr>
        <w:t>sagfely</w:t>
      </w:r>
      <w:proofErr w:type="spellEnd"/>
      <w:r>
        <w:rPr>
          <w:rFonts w:eastAsia="Hiragino Kaku Gothic Pro W6" w:cs="Segoe UI"/>
        </w:rPr>
        <w:t xml:space="preserve"> during such times is as challenging as I can remember. Some existential factor that </w:t>
      </w:r>
      <w:proofErr w:type="gramStart"/>
      <w:r>
        <w:rPr>
          <w:rFonts w:eastAsia="Hiragino Kaku Gothic Pro W6" w:cs="Segoe UI"/>
        </w:rPr>
        <w:t>no-one</w:t>
      </w:r>
      <w:proofErr w:type="gramEnd"/>
      <w:r>
        <w:rPr>
          <w:rFonts w:eastAsia="Hiragino Kaku Gothic Pro W6" w:cs="Segoe UI"/>
        </w:rPr>
        <w:t xml:space="preserve"> has yet considered may enter the fray and cause a sudden collapse of confidence. </w:t>
      </w:r>
    </w:p>
    <w:p w:rsidR="00B56728" w:rsidRDefault="006071C3" w:rsidP="00AC1A85">
      <w:pPr>
        <w:spacing w:before="120"/>
        <w:jc w:val="both"/>
        <w:rPr>
          <w:rFonts w:eastAsia="Hiragino Kaku Gothic Pro W6" w:cs="Segoe UI"/>
        </w:rPr>
      </w:pPr>
      <w:r>
        <w:rPr>
          <w:rFonts w:eastAsia="Hiragino Kaku Gothic Pro W6" w:cs="Segoe UI"/>
        </w:rPr>
        <w:t>Sudden w</w:t>
      </w:r>
      <w:r w:rsidR="00B56728">
        <w:rPr>
          <w:rFonts w:eastAsia="Hiragino Kaku Gothic Pro W6" w:cs="Segoe UI"/>
        </w:rPr>
        <w:t>ar</w:t>
      </w:r>
      <w:r>
        <w:rPr>
          <w:rFonts w:eastAsia="Hiragino Kaku Gothic Pro W6" w:cs="Segoe UI"/>
        </w:rPr>
        <w:t xml:space="preserve"> with China</w:t>
      </w:r>
      <w:r w:rsidR="00B56728">
        <w:rPr>
          <w:rFonts w:eastAsia="Hiragino Kaku Gothic Pro W6" w:cs="Segoe UI"/>
        </w:rPr>
        <w:t>,</w:t>
      </w:r>
      <w:r>
        <w:rPr>
          <w:rFonts w:eastAsia="Hiragino Kaku Gothic Pro W6" w:cs="Segoe UI"/>
        </w:rPr>
        <w:t xml:space="preserve"> </w:t>
      </w:r>
      <w:proofErr w:type="gramStart"/>
      <w:r>
        <w:rPr>
          <w:rFonts w:eastAsia="Hiragino Kaku Gothic Pro W6" w:cs="Segoe UI"/>
        </w:rPr>
        <w:t xml:space="preserve">a collapse of </w:t>
      </w:r>
      <w:proofErr w:type="spellStart"/>
      <w:r>
        <w:rPr>
          <w:rFonts w:eastAsia="Hiragino Kaku Gothic Pro W6" w:cs="Segoe UI"/>
        </w:rPr>
        <w:t>bitcoin</w:t>
      </w:r>
      <w:proofErr w:type="spellEnd"/>
      <w:r>
        <w:rPr>
          <w:rFonts w:eastAsia="Hiragino Kaku Gothic Pro W6" w:cs="Segoe UI"/>
        </w:rPr>
        <w:t>,</w:t>
      </w:r>
      <w:r w:rsidR="00B56728">
        <w:rPr>
          <w:rFonts w:eastAsia="Hiragino Kaku Gothic Pro W6" w:cs="Segoe UI"/>
        </w:rPr>
        <w:t xml:space="preserve"> </w:t>
      </w:r>
      <w:r>
        <w:rPr>
          <w:rFonts w:eastAsia="Hiragino Kaku Gothic Pro W6" w:cs="Segoe UI"/>
        </w:rPr>
        <w:t>or a</w:t>
      </w:r>
      <w:r w:rsidR="00B56728">
        <w:rPr>
          <w:rFonts w:eastAsia="Hiragino Kaku Gothic Pro W6" w:cs="Segoe UI"/>
        </w:rPr>
        <w:t xml:space="preserve"> spike in long bond yields (</w:t>
      </w:r>
      <w:r>
        <w:rPr>
          <w:rFonts w:eastAsia="Hiragino Kaku Gothic Pro W6" w:cs="Segoe UI"/>
        </w:rPr>
        <w:t>these are</w:t>
      </w:r>
      <w:r w:rsidR="00B56728">
        <w:rPr>
          <w:rFonts w:eastAsia="Hiragino Kaku Gothic Pro W6" w:cs="Segoe UI"/>
        </w:rPr>
        <w:t xml:space="preserve"> market driven not government controlled)</w:t>
      </w:r>
      <w:r>
        <w:rPr>
          <w:rFonts w:eastAsia="Hiragino Kaku Gothic Pro W6" w:cs="Segoe UI"/>
        </w:rPr>
        <w:t xml:space="preserve"> come</w:t>
      </w:r>
      <w:proofErr w:type="gramEnd"/>
      <w:r>
        <w:rPr>
          <w:rFonts w:eastAsia="Hiragino Kaku Gothic Pro W6" w:cs="Segoe UI"/>
        </w:rPr>
        <w:t xml:space="preserve"> to mind</w:t>
      </w:r>
      <w:r w:rsidR="00B56728">
        <w:rPr>
          <w:rFonts w:eastAsia="Hiragino Kaku Gothic Pro W6" w:cs="Segoe UI"/>
        </w:rPr>
        <w:t xml:space="preserve">. Fortunately the </w:t>
      </w:r>
      <w:proofErr w:type="gramStart"/>
      <w:r w:rsidR="00B56728">
        <w:rPr>
          <w:rFonts w:eastAsia="Hiragino Kaku Gothic Pro W6" w:cs="Segoe UI"/>
        </w:rPr>
        <w:t>portfolio has the ability to be switched around or even go</w:t>
      </w:r>
      <w:proofErr w:type="gramEnd"/>
      <w:r w:rsidR="00B56728">
        <w:rPr>
          <w:rFonts w:eastAsia="Hiragino Kaku Gothic Pro W6" w:cs="Segoe UI"/>
        </w:rPr>
        <w:t xml:space="preserve"> to predomin</w:t>
      </w:r>
      <w:r>
        <w:rPr>
          <w:rFonts w:eastAsia="Hiragino Kaku Gothic Pro W6" w:cs="Segoe UI"/>
        </w:rPr>
        <w:t xml:space="preserve">antly cash at a moment’s notice. </w:t>
      </w:r>
      <w:r w:rsidR="00B56728">
        <w:rPr>
          <w:rFonts w:eastAsia="Hiragino Kaku Gothic Pro W6" w:cs="Segoe UI"/>
        </w:rPr>
        <w:t xml:space="preserve"> </w:t>
      </w:r>
      <w:r>
        <w:rPr>
          <w:rFonts w:eastAsia="Hiragino Kaku Gothic Pro W6" w:cs="Segoe UI"/>
        </w:rPr>
        <w:t>For</w:t>
      </w:r>
      <w:r w:rsidR="00B56728">
        <w:rPr>
          <w:rFonts w:eastAsia="Hiragino Kaku Gothic Pro W6" w:cs="Segoe UI"/>
        </w:rPr>
        <w:t xml:space="preserve"> now </w:t>
      </w:r>
      <w:r>
        <w:rPr>
          <w:rFonts w:eastAsia="Hiragino Kaku Gothic Pro W6" w:cs="Segoe UI"/>
        </w:rPr>
        <w:t>the strategy is to remain</w:t>
      </w:r>
      <w:r w:rsidR="00B56728">
        <w:rPr>
          <w:rFonts w:eastAsia="Hiragino Kaku Gothic Pro W6" w:cs="Segoe UI"/>
        </w:rPr>
        <w:t xml:space="preserve"> vi</w:t>
      </w:r>
      <w:r>
        <w:rPr>
          <w:rFonts w:eastAsia="Hiragino Kaku Gothic Pro W6" w:cs="Segoe UI"/>
        </w:rPr>
        <w:t>gilant, hold the sorts of quality companies that will do well under either circumstance, and as a hedge, some gold stock positioning.</w:t>
      </w:r>
    </w:p>
    <w:p w:rsidR="001F602E" w:rsidRDefault="001F602E" w:rsidP="00AC1A85">
      <w:pPr>
        <w:spacing w:before="120"/>
        <w:jc w:val="both"/>
        <w:rPr>
          <w:rFonts w:eastAsia="Hiragino Kaku Gothic Pro W6" w:cs="Segoe UI"/>
        </w:rPr>
      </w:pPr>
    </w:p>
    <w:p w:rsidR="001F602E" w:rsidRDefault="001F602E" w:rsidP="00AC1A85">
      <w:pPr>
        <w:spacing w:before="120"/>
        <w:jc w:val="both"/>
        <w:rPr>
          <w:rFonts w:eastAsia="Hiragino Kaku Gothic Pro W6" w:cs="Segoe UI"/>
        </w:rPr>
      </w:pPr>
    </w:p>
    <w:p w:rsidR="001F602E" w:rsidRDefault="001F602E" w:rsidP="00AC1A85">
      <w:pPr>
        <w:spacing w:before="120"/>
        <w:jc w:val="both"/>
        <w:rPr>
          <w:rFonts w:eastAsia="Hiragino Kaku Gothic Pro W6" w:cs="Segoe UI"/>
        </w:rPr>
      </w:pPr>
      <w:r>
        <w:rPr>
          <w:rFonts w:eastAsia="Hiragino Kaku Gothic Pro W6" w:cs="Segoe UI"/>
        </w:rPr>
        <w:t xml:space="preserve">John Aldersley </w:t>
      </w:r>
      <w:bookmarkStart w:id="0" w:name="_GoBack"/>
      <w:bookmarkEnd w:id="0"/>
    </w:p>
    <w:p w:rsidR="001F602E" w:rsidRPr="00AC1A85" w:rsidRDefault="001F602E" w:rsidP="001F602E">
      <w:pPr>
        <w:spacing w:before="120"/>
        <w:rPr>
          <w:rFonts w:eastAsia="Hiragino Kaku Gothic Pro W6" w:cs="Segoe UI"/>
        </w:rPr>
        <w:sectPr w:rsidR="001F602E" w:rsidRPr="00AC1A85" w:rsidSect="00334718">
          <w:type w:val="continuous"/>
          <w:pgSz w:w="11900" w:h="16840"/>
          <w:pgMar w:top="1440" w:right="1410" w:bottom="1440" w:left="1276" w:header="708" w:footer="708" w:gutter="0"/>
          <w:cols w:space="708"/>
        </w:sectPr>
      </w:pPr>
      <w:r>
        <w:rPr>
          <w:rFonts w:eastAsia="Hiragino Kaku Gothic Pro W6" w:cs="Segoe UI"/>
        </w:rPr>
        <w:t>Chief Investment Officer</w:t>
      </w:r>
    </w:p>
    <w:p w:rsidR="00FA00EF" w:rsidRPr="000578E2" w:rsidRDefault="00FA00EF" w:rsidP="004E1B71">
      <w:pPr>
        <w:pStyle w:val="Heading2"/>
        <w:rPr>
          <w:sz w:val="44"/>
        </w:rPr>
      </w:pPr>
      <w:r w:rsidRPr="000578E2">
        <w:rPr>
          <w:sz w:val="44"/>
        </w:rPr>
        <w:lastRenderedPageBreak/>
        <w:t>IMPORTANT INFORMATION</w:t>
      </w:r>
    </w:p>
    <w:p w:rsidR="00FA00EF" w:rsidRPr="000578E2" w:rsidRDefault="00FA00EF" w:rsidP="007D418F"/>
    <w:p w:rsidR="00FA00EF" w:rsidRPr="00BF13DF" w:rsidRDefault="00FA00EF" w:rsidP="000517C1">
      <w:pPr>
        <w:autoSpaceDE w:val="0"/>
        <w:autoSpaceDN w:val="0"/>
        <w:adjustRightInd w:val="0"/>
        <w:spacing w:after="0" w:line="240" w:lineRule="auto"/>
        <w:rPr>
          <w:rFonts w:cs="Arial Narrow"/>
          <w:b/>
          <w:bCs/>
          <w:sz w:val="20"/>
          <w:szCs w:val="20"/>
        </w:rPr>
      </w:pPr>
    </w:p>
    <w:p w:rsidR="00FA00EF" w:rsidRPr="00BF13DF" w:rsidRDefault="00FA00EF" w:rsidP="000517C1">
      <w:pPr>
        <w:widowControl w:val="0"/>
        <w:autoSpaceDE w:val="0"/>
        <w:autoSpaceDN w:val="0"/>
        <w:adjustRightInd w:val="0"/>
        <w:snapToGrid w:val="0"/>
        <w:spacing w:after="120" w:line="240" w:lineRule="auto"/>
        <w:jc w:val="both"/>
        <w:rPr>
          <w:rFonts w:cs="GillSans Light"/>
          <w:color w:val="000000"/>
          <w:sz w:val="20"/>
          <w:szCs w:val="20"/>
        </w:rPr>
        <w:sectPr w:rsidR="00FA00EF" w:rsidRPr="00BF13DF" w:rsidSect="009A2283">
          <w:pgSz w:w="11900" w:h="16840"/>
          <w:pgMar w:top="1440" w:right="1410" w:bottom="1440" w:left="1276" w:header="708" w:footer="708" w:gutter="0"/>
          <w:cols w:space="708"/>
        </w:sectPr>
      </w:pPr>
    </w:p>
    <w:p w:rsidR="00BF13DF" w:rsidRPr="00BF13DF" w:rsidRDefault="00BF13DF" w:rsidP="00BF13DF">
      <w:pPr>
        <w:rPr>
          <w:sz w:val="20"/>
          <w:szCs w:val="20"/>
        </w:rPr>
      </w:pPr>
      <w:r w:rsidRPr="00BF13DF">
        <w:rPr>
          <w:sz w:val="20"/>
          <w:szCs w:val="20"/>
        </w:rPr>
        <w:lastRenderedPageBreak/>
        <w:t>Prepared by HUB24 Custodial Services Ltd (ABN 94 073 633 664, AFS licence No. 239 122) ("the Operator” of HUB24 Invest (the Service)) and (("the Promo</w:t>
      </w:r>
      <w:r w:rsidR="00366F8F">
        <w:rPr>
          <w:sz w:val="20"/>
          <w:szCs w:val="20"/>
        </w:rPr>
        <w:t>ter” of HUB24 Super (the Fund))</w:t>
      </w:r>
      <w:r w:rsidRPr="00BF13DF">
        <w:rPr>
          <w:sz w:val="20"/>
          <w:szCs w:val="20"/>
        </w:rPr>
        <w:t>". The information contained in this document is not intended to be a definitive statement on the subject matter nor an endorsement that this Portfolio is appropriate for you and should not be relied upon in making a decision to invest in this Service</w:t>
      </w:r>
      <w:r w:rsidR="00366F8F">
        <w:rPr>
          <w:sz w:val="20"/>
          <w:szCs w:val="20"/>
        </w:rPr>
        <w:t xml:space="preserve"> or Fund</w:t>
      </w:r>
      <w:r w:rsidRPr="00BF13DF">
        <w:rPr>
          <w:sz w:val="20"/>
          <w:szCs w:val="20"/>
        </w:rPr>
        <w:t xml:space="preserve">. </w:t>
      </w:r>
    </w:p>
    <w:p w:rsidR="008D5309" w:rsidRPr="00BF13DF" w:rsidRDefault="008D5309" w:rsidP="008D5309">
      <w:pPr>
        <w:widowControl w:val="0"/>
        <w:autoSpaceDE w:val="0"/>
        <w:autoSpaceDN w:val="0"/>
        <w:adjustRightInd w:val="0"/>
        <w:snapToGrid w:val="0"/>
        <w:spacing w:after="0" w:line="240" w:lineRule="auto"/>
        <w:rPr>
          <w:sz w:val="20"/>
          <w:szCs w:val="20"/>
        </w:rPr>
      </w:pPr>
    </w:p>
    <w:p w:rsidR="00D16B2C" w:rsidRPr="000578E2" w:rsidRDefault="00D16B2C" w:rsidP="00D16B2C">
      <w:pPr>
        <w:spacing w:after="0"/>
        <w:rPr>
          <w:sz w:val="20"/>
          <w:szCs w:val="20"/>
          <w:lang w:val="en-US"/>
        </w:rPr>
      </w:pPr>
      <w:proofErr w:type="gramStart"/>
      <w:r w:rsidRPr="000578E2">
        <w:rPr>
          <w:sz w:val="20"/>
          <w:szCs w:val="20"/>
          <w:lang w:val="en-US"/>
        </w:rPr>
        <w:t xml:space="preserve">Financial commentary contained within this report is provided by </w:t>
      </w:r>
      <w:r>
        <w:rPr>
          <w:sz w:val="20"/>
          <w:szCs w:val="20"/>
          <w:lang w:val="en-US"/>
        </w:rPr>
        <w:t>Aldersley Capital Pty Ltd</w:t>
      </w:r>
      <w:proofErr w:type="gramEnd"/>
      <w:r w:rsidR="00073D80" w:rsidRPr="000578E2">
        <w:rPr>
          <w:sz w:val="20"/>
          <w:szCs w:val="20"/>
          <w:lang w:val="en-US"/>
        </w:rPr>
        <w:t xml:space="preserve"> (</w:t>
      </w:r>
      <w:r>
        <w:rPr>
          <w:sz w:val="20"/>
          <w:szCs w:val="20"/>
          <w:lang w:val="en-US"/>
        </w:rPr>
        <w:t xml:space="preserve">ABN 14 002 972 901) a corporate </w:t>
      </w:r>
      <w:proofErr w:type="spellStart"/>
      <w:r>
        <w:rPr>
          <w:sz w:val="20"/>
          <w:szCs w:val="20"/>
          <w:lang w:val="en-US"/>
        </w:rPr>
        <w:t>authorised</w:t>
      </w:r>
      <w:proofErr w:type="spellEnd"/>
      <w:r>
        <w:rPr>
          <w:sz w:val="20"/>
          <w:szCs w:val="20"/>
          <w:lang w:val="en-US"/>
        </w:rPr>
        <w:t xml:space="preserve"> representative (No. 420193) of </w:t>
      </w:r>
      <w:proofErr w:type="spellStart"/>
      <w:r>
        <w:rPr>
          <w:sz w:val="20"/>
          <w:szCs w:val="20"/>
          <w:lang w:val="en-US"/>
        </w:rPr>
        <w:t>Andika</w:t>
      </w:r>
      <w:proofErr w:type="spellEnd"/>
      <w:r>
        <w:rPr>
          <w:sz w:val="20"/>
          <w:szCs w:val="20"/>
          <w:lang w:val="en-US"/>
        </w:rPr>
        <w:t xml:space="preserve"> Pty Ltd (ABN 41 117 403 326 and AFSL 297069</w:t>
      </w:r>
      <w:r w:rsidR="00073D80" w:rsidRPr="000578E2">
        <w:rPr>
          <w:sz w:val="20"/>
          <w:szCs w:val="20"/>
          <w:lang w:val="en-US"/>
        </w:rPr>
        <w:t>)</w:t>
      </w:r>
      <w:r w:rsidRPr="000578E2">
        <w:rPr>
          <w:sz w:val="20"/>
          <w:szCs w:val="20"/>
          <w:lang w:val="en-US"/>
        </w:rPr>
        <w:t>, who is the Portfolio Manager of this Portfolio.</w:t>
      </w:r>
    </w:p>
    <w:p w:rsidR="008D5309" w:rsidRPr="000578E2" w:rsidRDefault="008D5309" w:rsidP="008D5309">
      <w:pPr>
        <w:widowControl w:val="0"/>
        <w:autoSpaceDE w:val="0"/>
        <w:autoSpaceDN w:val="0"/>
        <w:adjustRightInd w:val="0"/>
        <w:snapToGrid w:val="0"/>
        <w:spacing w:after="0" w:line="240" w:lineRule="auto"/>
        <w:rPr>
          <w:sz w:val="20"/>
          <w:szCs w:val="20"/>
        </w:rPr>
      </w:pPr>
    </w:p>
    <w:p w:rsidR="00BF13DF" w:rsidRPr="00BF13DF" w:rsidRDefault="00BF13DF" w:rsidP="00BF13DF">
      <w:pPr>
        <w:rPr>
          <w:rFonts w:cstheme="minorBidi"/>
          <w:sz w:val="20"/>
          <w:szCs w:val="20"/>
        </w:rPr>
      </w:pPr>
      <w:r w:rsidRPr="00BF13DF">
        <w:rPr>
          <w:sz w:val="20"/>
          <w:szCs w:val="20"/>
        </w:rPr>
        <w:t xml:space="preserve">The information in this report is general information only and does not take into account your individual objectives, financial situation, needs or circumstances. No representations or warranties express or </w:t>
      </w:r>
      <w:proofErr w:type="gramStart"/>
      <w:r w:rsidRPr="00BF13DF">
        <w:rPr>
          <w:sz w:val="20"/>
          <w:szCs w:val="20"/>
        </w:rPr>
        <w:t>implied,</w:t>
      </w:r>
      <w:proofErr w:type="gramEnd"/>
      <w:r w:rsidRPr="00BF13DF">
        <w:rPr>
          <w:sz w:val="20"/>
          <w:szCs w:val="20"/>
        </w:rPr>
        <w:t xml:space="preserve"> are made as to the accuracy or completeness of the information, opinions and conclusions contained in this report. In preparing this report, HUB24 has relied upon and assumed, without independent verification, the accuracy and completeness of all information available to HUB24. To the maximum extent permitted by law, </w:t>
      </w:r>
      <w:proofErr w:type="gramStart"/>
      <w:r w:rsidRPr="00BF13DF">
        <w:rPr>
          <w:sz w:val="20"/>
          <w:szCs w:val="20"/>
        </w:rPr>
        <w:t>neither HUB24 or its directors, employees or agents</w:t>
      </w:r>
      <w:proofErr w:type="gramEnd"/>
      <w:r w:rsidRPr="00BF13DF">
        <w:rPr>
          <w:sz w:val="20"/>
          <w:szCs w:val="20"/>
        </w:rPr>
        <w:t xml:space="preserve"> accept any liability for any loss arising in relation to this report</w:t>
      </w:r>
      <w:r w:rsidRPr="00BF13DF">
        <w:rPr>
          <w:rFonts w:cstheme="minorBidi"/>
          <w:sz w:val="20"/>
          <w:szCs w:val="20"/>
        </w:rPr>
        <w:t xml:space="preserve">. </w:t>
      </w:r>
    </w:p>
    <w:p w:rsidR="00B04DA9" w:rsidRDefault="00B04DA9"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lastRenderedPageBreak/>
        <w:t xml:space="preserve">The suitability of the Service or Fund to your needs and the suitability of a particular Investment Choice </w:t>
      </w:r>
      <w:proofErr w:type="gramStart"/>
      <w:r w:rsidRPr="00BF13DF">
        <w:rPr>
          <w:sz w:val="20"/>
          <w:szCs w:val="20"/>
        </w:rPr>
        <w:t>depends</w:t>
      </w:r>
      <w:proofErr w:type="gramEnd"/>
      <w:r w:rsidRPr="00BF13DF">
        <w:rPr>
          <w:sz w:val="20"/>
          <w:szCs w:val="20"/>
        </w:rPr>
        <w:t xml:space="preserve"> on your individual circumstances and objectives and should be discussed with your Adviser. Potential investors must read the FSG and IDPS Guide and/or Super PDS along with any accompanying materials.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 xml:space="preserve">Investment in securities and other financial products involves risk. An investment in a financial product may have the potential for capital growth and income, but may also carry the risk that the total return on the investment may be less than the amount contributed directly by the investor.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Past performance of financial products is not a reliable indicator of future performa</w:t>
      </w:r>
      <w:r w:rsidR="00366F8F">
        <w:rPr>
          <w:sz w:val="20"/>
          <w:szCs w:val="20"/>
        </w:rPr>
        <w:t xml:space="preserve">nce.  HUB24 and the Trustee do not assure </w:t>
      </w:r>
      <w:r w:rsidRPr="00BF13DF">
        <w:rPr>
          <w:sz w:val="20"/>
          <w:szCs w:val="20"/>
        </w:rPr>
        <w:t xml:space="preserve">or guarantee the performance of any financial products offered. Information, opinions, historical performance, calculations or assessments of performance of financial products or markets rely on assumptions about tax, reinvestment, market performance, liquidity and other factors that will be important and may fluctuate over time.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HUB24, its associates and their respective directors and other staff each declare that they may, from time to time, hold interests in Securities that ar</w:t>
      </w:r>
      <w:r w:rsidR="00366F8F">
        <w:rPr>
          <w:sz w:val="20"/>
          <w:szCs w:val="20"/>
        </w:rPr>
        <w:t xml:space="preserve">e contained in this Service </w:t>
      </w:r>
      <w:r w:rsidRPr="00BF13DF">
        <w:rPr>
          <w:sz w:val="20"/>
          <w:szCs w:val="20"/>
        </w:rPr>
        <w:t>or Fund.</w:t>
      </w:r>
    </w:p>
    <w:p w:rsidR="008D5309" w:rsidRPr="008D5309" w:rsidRDefault="008D5309" w:rsidP="008D5309">
      <w:pPr>
        <w:widowControl w:val="0"/>
        <w:autoSpaceDE w:val="0"/>
        <w:autoSpaceDN w:val="0"/>
        <w:adjustRightInd w:val="0"/>
        <w:snapToGrid w:val="0"/>
        <w:spacing w:after="0" w:line="240" w:lineRule="auto"/>
        <w:rPr>
          <w:sz w:val="20"/>
          <w:szCs w:val="20"/>
        </w:rPr>
      </w:pPr>
    </w:p>
    <w:p w:rsidR="008D5309" w:rsidRPr="004E1B71" w:rsidRDefault="008D5309" w:rsidP="000517C1">
      <w:pPr>
        <w:widowControl w:val="0"/>
        <w:autoSpaceDE w:val="0"/>
        <w:autoSpaceDN w:val="0"/>
        <w:adjustRightInd w:val="0"/>
        <w:snapToGrid w:val="0"/>
        <w:spacing w:after="0" w:line="240" w:lineRule="auto"/>
        <w:rPr>
          <w:rFonts w:cs="GillSans Light"/>
          <w:sz w:val="20"/>
          <w:szCs w:val="18"/>
        </w:rPr>
      </w:pPr>
    </w:p>
    <w:p w:rsidR="00FA00EF" w:rsidRDefault="00FA00EF" w:rsidP="00EB437E">
      <w:pPr>
        <w:sectPr w:rsidR="00FA00EF" w:rsidSect="009A2283">
          <w:type w:val="continuous"/>
          <w:pgSz w:w="11900" w:h="16840"/>
          <w:pgMar w:top="1440" w:right="1410" w:bottom="1440" w:left="1276" w:header="708" w:footer="708" w:gutter="0"/>
          <w:cols w:num="2" w:space="708"/>
        </w:sectPr>
      </w:pPr>
    </w:p>
    <w:p w:rsidR="00FA00EF" w:rsidRPr="00EB437E" w:rsidRDefault="00FA00EF" w:rsidP="00EB437E"/>
    <w:sectPr w:rsidR="00FA00EF" w:rsidRPr="00EB437E" w:rsidSect="009A2283">
      <w:type w:val="continuous"/>
      <w:pgSz w:w="11900" w:h="16840"/>
      <w:pgMar w:top="1440" w:right="1410" w:bottom="1440" w:left="1276"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728" w:rsidRDefault="00B56728">
      <w:pPr>
        <w:spacing w:after="0" w:line="240" w:lineRule="auto"/>
      </w:pPr>
      <w:r>
        <w:separator/>
      </w:r>
    </w:p>
  </w:endnote>
  <w:endnote w:type="continuationSeparator" w:id="0">
    <w:p w:rsidR="00B56728" w:rsidRDefault="00B5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iragino Kaku Gothic Pro W6">
    <w:charset w:val="80"/>
    <w:family w:val="swiss"/>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yriad Pro">
    <w:panose1 w:val="020B050303040302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Segoe UI">
    <w:charset w:val="00"/>
    <w:family w:val="swiss"/>
    <w:pitch w:val="variable"/>
    <w:sig w:usb0="E10022FF" w:usb1="C000E47F" w:usb2="00000029" w:usb3="00000000" w:csb0="000001DF" w:csb1="00000000"/>
  </w:font>
  <w:font w:name="Arial Narrow">
    <w:panose1 w:val="020B0506020202030204"/>
    <w:charset w:val="00"/>
    <w:family w:val="auto"/>
    <w:pitch w:val="variable"/>
    <w:sig w:usb0="00000003" w:usb1="00000000" w:usb2="00000000" w:usb3="00000000" w:csb0="00000001" w:csb1="00000000"/>
  </w:font>
  <w:font w:name="GillSans Light">
    <w:altName w:val="GillSans Light"/>
    <w:panose1 w:val="00000000000000000000"/>
    <w:charset w:val="00"/>
    <w:family w:val="auto"/>
    <w:notTrueType/>
    <w:pitch w:val="default"/>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28" w:rsidRDefault="00B56728"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6728" w:rsidRDefault="00B5672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28" w:rsidRDefault="00B56728"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602E">
      <w:rPr>
        <w:rStyle w:val="PageNumber"/>
        <w:noProof/>
      </w:rPr>
      <w:t>3</w:t>
    </w:r>
    <w:r>
      <w:rPr>
        <w:rStyle w:val="PageNumber"/>
      </w:rPr>
      <w:fldChar w:fldCharType="end"/>
    </w:r>
  </w:p>
  <w:p w:rsidR="00B56728" w:rsidRDefault="00B56728" w:rsidP="007A29C1">
    <w:pPr>
      <w:pStyle w:val="Footer"/>
      <w:jc w:val="center"/>
    </w:pPr>
  </w:p>
  <w:p w:rsidR="00B56728" w:rsidRDefault="00B5672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728" w:rsidRDefault="00B56728">
      <w:pPr>
        <w:spacing w:after="0" w:line="240" w:lineRule="auto"/>
      </w:pPr>
      <w:r>
        <w:separator/>
      </w:r>
    </w:p>
  </w:footnote>
  <w:footnote w:type="continuationSeparator" w:id="0">
    <w:p w:rsidR="00B56728" w:rsidRDefault="00B5672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CCE1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CCC827E"/>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62CCAC72"/>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C4B84CD0"/>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829AC9CE"/>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47063DE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F6E14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1F83C6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79826E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1FCB12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251CF5DC"/>
    <w:lvl w:ilvl="0">
      <w:start w:val="1"/>
      <w:numFmt w:val="bullet"/>
      <w:lvlText w:val=""/>
      <w:lvlJc w:val="left"/>
      <w:pPr>
        <w:tabs>
          <w:tab w:val="num" w:pos="360"/>
        </w:tabs>
        <w:ind w:left="360" w:hanging="360"/>
      </w:pPr>
      <w:rPr>
        <w:rFonts w:ascii="Symbol" w:hAnsi="Symbol" w:hint="default"/>
      </w:rPr>
    </w:lvl>
  </w:abstractNum>
  <w:abstractNum w:abstractNumId="11">
    <w:nsid w:val="02B807CD"/>
    <w:multiLevelType w:val="multilevel"/>
    <w:tmpl w:val="8B9EB1BE"/>
    <w:lvl w:ilvl="0">
      <w:start w:val="1"/>
      <w:numFmt w:val="decimal"/>
      <w:lvlText w:val="%1"/>
      <w:lvlJc w:val="left"/>
      <w:pPr>
        <w:tabs>
          <w:tab w:val="num" w:pos="924"/>
        </w:tabs>
        <w:ind w:left="924" w:hanging="924"/>
      </w:pPr>
      <w:rPr>
        <w:rFonts w:cs="Times New Roman"/>
      </w:rPr>
    </w:lvl>
    <w:lvl w:ilvl="1">
      <w:start w:val="1"/>
      <w:numFmt w:val="decimal"/>
      <w:lvlText w:val="%1.%2"/>
      <w:lvlJc w:val="left"/>
      <w:pPr>
        <w:tabs>
          <w:tab w:val="num" w:pos="924"/>
        </w:tabs>
        <w:ind w:left="924" w:hanging="924"/>
      </w:pPr>
      <w:rPr>
        <w:rFonts w:cs="Times New Roman"/>
      </w:rPr>
    </w:lvl>
    <w:lvl w:ilvl="2">
      <w:start w:val="1"/>
      <w:numFmt w:val="decimal"/>
      <w:lvlText w:val="%1.%2.%3"/>
      <w:lvlJc w:val="left"/>
      <w:pPr>
        <w:tabs>
          <w:tab w:val="num" w:pos="1848"/>
        </w:tabs>
        <w:ind w:left="1848" w:hanging="924"/>
      </w:pPr>
      <w:rPr>
        <w:rFonts w:cs="Times New Roman"/>
      </w:rPr>
    </w:lvl>
    <w:lvl w:ilvl="3">
      <w:start w:val="1"/>
      <w:numFmt w:val="lowerLetter"/>
      <w:lvlText w:val="(%4)"/>
      <w:lvlJc w:val="left"/>
      <w:pPr>
        <w:tabs>
          <w:tab w:val="num" w:pos="2772"/>
        </w:tabs>
        <w:ind w:left="2772" w:hanging="924"/>
      </w:pPr>
      <w:rPr>
        <w:rFonts w:cs="Times New Roman"/>
      </w:rPr>
    </w:lvl>
    <w:lvl w:ilvl="4">
      <w:start w:val="1"/>
      <w:numFmt w:val="lowerLetter"/>
      <w:lvlText w:val="(%5)"/>
      <w:lvlJc w:val="left"/>
      <w:pPr>
        <w:tabs>
          <w:tab w:val="num" w:pos="1848"/>
        </w:tabs>
        <w:ind w:left="1848" w:hanging="924"/>
      </w:pPr>
      <w:rPr>
        <w:rFonts w:cs="Times New Roman"/>
      </w:rPr>
    </w:lvl>
    <w:lvl w:ilvl="5">
      <w:start w:val="1"/>
      <w:numFmt w:val="lowerRoman"/>
      <w:lvlRestart w:val="0"/>
      <w:lvlText w:val="(%6)"/>
      <w:lvlJc w:val="left"/>
      <w:pPr>
        <w:tabs>
          <w:tab w:val="num" w:pos="3697"/>
        </w:tabs>
        <w:ind w:left="3697" w:hanging="924"/>
      </w:pPr>
      <w:rPr>
        <w:rFonts w:cs="Times New Roman"/>
      </w:rPr>
    </w:lvl>
    <w:lvl w:ilvl="6">
      <w:start w:val="1"/>
      <w:numFmt w:val="none"/>
      <w:suff w:val="nothing"/>
      <w:lvlText w:val=""/>
      <w:lvlJc w:val="left"/>
      <w:pPr>
        <w:ind w:left="1848" w:hanging="1848"/>
      </w:pPr>
      <w:rPr>
        <w:rFonts w:cs="Times New Roman"/>
        <w:b w:val="0"/>
        <w:i w:val="0"/>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nsid w:val="0AA227AB"/>
    <w:multiLevelType w:val="hybridMultilevel"/>
    <w:tmpl w:val="9C4A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B8F165B"/>
    <w:multiLevelType w:val="hybridMultilevel"/>
    <w:tmpl w:val="A35C8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7930A77"/>
    <w:multiLevelType w:val="hybridMultilevel"/>
    <w:tmpl w:val="A3C6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6974C9"/>
    <w:multiLevelType w:val="hybridMultilevel"/>
    <w:tmpl w:val="1B7A884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3E5747E4"/>
    <w:multiLevelType w:val="hybridMultilevel"/>
    <w:tmpl w:val="8FF07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8FA6886"/>
    <w:multiLevelType w:val="hybridMultilevel"/>
    <w:tmpl w:val="2E444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5D412F9"/>
    <w:multiLevelType w:val="hybridMultilevel"/>
    <w:tmpl w:val="CA443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FED0C74"/>
    <w:multiLevelType w:val="hybridMultilevel"/>
    <w:tmpl w:val="8A20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7"/>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2901A5"/>
    <w:rsid w:val="00001B40"/>
    <w:rsid w:val="00001ED0"/>
    <w:rsid w:val="000025D7"/>
    <w:rsid w:val="0000299E"/>
    <w:rsid w:val="0001455F"/>
    <w:rsid w:val="000220ED"/>
    <w:rsid w:val="0002226B"/>
    <w:rsid w:val="00025F53"/>
    <w:rsid w:val="000319BE"/>
    <w:rsid w:val="000507A6"/>
    <w:rsid w:val="000517C1"/>
    <w:rsid w:val="0005562F"/>
    <w:rsid w:val="000578E2"/>
    <w:rsid w:val="00061828"/>
    <w:rsid w:val="000637DC"/>
    <w:rsid w:val="00073D80"/>
    <w:rsid w:val="00077DB3"/>
    <w:rsid w:val="00090CAA"/>
    <w:rsid w:val="000939CB"/>
    <w:rsid w:val="000A2C55"/>
    <w:rsid w:val="000A6975"/>
    <w:rsid w:val="000B7A46"/>
    <w:rsid w:val="000C667C"/>
    <w:rsid w:val="000D0DF5"/>
    <w:rsid w:val="000D3C30"/>
    <w:rsid w:val="000E71F6"/>
    <w:rsid w:val="000E75EE"/>
    <w:rsid w:val="000F2104"/>
    <w:rsid w:val="000F5F2C"/>
    <w:rsid w:val="00105CC1"/>
    <w:rsid w:val="00121412"/>
    <w:rsid w:val="001231DB"/>
    <w:rsid w:val="00124881"/>
    <w:rsid w:val="00126525"/>
    <w:rsid w:val="0013184D"/>
    <w:rsid w:val="00182271"/>
    <w:rsid w:val="0018386A"/>
    <w:rsid w:val="00197A5A"/>
    <w:rsid w:val="001A0AAF"/>
    <w:rsid w:val="001A3335"/>
    <w:rsid w:val="001A3F41"/>
    <w:rsid w:val="001A591F"/>
    <w:rsid w:val="001B3DFC"/>
    <w:rsid w:val="001C0A71"/>
    <w:rsid w:val="001C3E18"/>
    <w:rsid w:val="001C5E16"/>
    <w:rsid w:val="001C6875"/>
    <w:rsid w:val="001D3DCA"/>
    <w:rsid w:val="001E7EC0"/>
    <w:rsid w:val="001F32CD"/>
    <w:rsid w:val="001F602E"/>
    <w:rsid w:val="001F7993"/>
    <w:rsid w:val="0020663F"/>
    <w:rsid w:val="00210965"/>
    <w:rsid w:val="00214160"/>
    <w:rsid w:val="00245887"/>
    <w:rsid w:val="002676E9"/>
    <w:rsid w:val="00272FE7"/>
    <w:rsid w:val="00273BF1"/>
    <w:rsid w:val="002901A5"/>
    <w:rsid w:val="002B3418"/>
    <w:rsid w:val="002B45A3"/>
    <w:rsid w:val="002B5F5E"/>
    <w:rsid w:val="002C51E9"/>
    <w:rsid w:val="002E6CA7"/>
    <w:rsid w:val="002F20A8"/>
    <w:rsid w:val="002F2975"/>
    <w:rsid w:val="002F2CF3"/>
    <w:rsid w:val="00305C6E"/>
    <w:rsid w:val="00312C96"/>
    <w:rsid w:val="00316554"/>
    <w:rsid w:val="0032615D"/>
    <w:rsid w:val="00330263"/>
    <w:rsid w:val="00333429"/>
    <w:rsid w:val="00334718"/>
    <w:rsid w:val="003405D5"/>
    <w:rsid w:val="0034117F"/>
    <w:rsid w:val="00353F12"/>
    <w:rsid w:val="00366F8F"/>
    <w:rsid w:val="00377C13"/>
    <w:rsid w:val="00382DB8"/>
    <w:rsid w:val="003940C6"/>
    <w:rsid w:val="003A347D"/>
    <w:rsid w:val="003C5ED9"/>
    <w:rsid w:val="003D6142"/>
    <w:rsid w:val="003E2A59"/>
    <w:rsid w:val="003E2DBE"/>
    <w:rsid w:val="003E30A4"/>
    <w:rsid w:val="003E3D17"/>
    <w:rsid w:val="00400995"/>
    <w:rsid w:val="0040653D"/>
    <w:rsid w:val="00431F1A"/>
    <w:rsid w:val="004352D0"/>
    <w:rsid w:val="0043779E"/>
    <w:rsid w:val="004530F2"/>
    <w:rsid w:val="004734B1"/>
    <w:rsid w:val="004737FA"/>
    <w:rsid w:val="00480D60"/>
    <w:rsid w:val="00482047"/>
    <w:rsid w:val="00486E96"/>
    <w:rsid w:val="0049739E"/>
    <w:rsid w:val="004A7104"/>
    <w:rsid w:val="004B041A"/>
    <w:rsid w:val="004B1795"/>
    <w:rsid w:val="004B23F9"/>
    <w:rsid w:val="004E1B71"/>
    <w:rsid w:val="004E44B8"/>
    <w:rsid w:val="00502351"/>
    <w:rsid w:val="005176E0"/>
    <w:rsid w:val="005344E2"/>
    <w:rsid w:val="00545522"/>
    <w:rsid w:val="0054745D"/>
    <w:rsid w:val="00550D65"/>
    <w:rsid w:val="00555790"/>
    <w:rsid w:val="005557A7"/>
    <w:rsid w:val="00557B4C"/>
    <w:rsid w:val="00561456"/>
    <w:rsid w:val="0056204C"/>
    <w:rsid w:val="0057054E"/>
    <w:rsid w:val="00570B8C"/>
    <w:rsid w:val="00570D7D"/>
    <w:rsid w:val="00573142"/>
    <w:rsid w:val="00573A65"/>
    <w:rsid w:val="00574482"/>
    <w:rsid w:val="00595C08"/>
    <w:rsid w:val="005A6188"/>
    <w:rsid w:val="005B1651"/>
    <w:rsid w:val="005B257C"/>
    <w:rsid w:val="005C12E0"/>
    <w:rsid w:val="005E006E"/>
    <w:rsid w:val="005E5E28"/>
    <w:rsid w:val="005E60C2"/>
    <w:rsid w:val="005E68C7"/>
    <w:rsid w:val="005E7FDF"/>
    <w:rsid w:val="005F3DA2"/>
    <w:rsid w:val="0060001B"/>
    <w:rsid w:val="006071C3"/>
    <w:rsid w:val="00617EAC"/>
    <w:rsid w:val="006200B2"/>
    <w:rsid w:val="00627CC2"/>
    <w:rsid w:val="00633126"/>
    <w:rsid w:val="00647DAB"/>
    <w:rsid w:val="006549D7"/>
    <w:rsid w:val="0066154A"/>
    <w:rsid w:val="00663FE7"/>
    <w:rsid w:val="006708AD"/>
    <w:rsid w:val="0067180A"/>
    <w:rsid w:val="006779B6"/>
    <w:rsid w:val="00686699"/>
    <w:rsid w:val="006C7527"/>
    <w:rsid w:val="006D019A"/>
    <w:rsid w:val="006D69FD"/>
    <w:rsid w:val="006E07AB"/>
    <w:rsid w:val="0070025C"/>
    <w:rsid w:val="00707779"/>
    <w:rsid w:val="007170D9"/>
    <w:rsid w:val="00720B1A"/>
    <w:rsid w:val="00740E1B"/>
    <w:rsid w:val="00743487"/>
    <w:rsid w:val="00747FE1"/>
    <w:rsid w:val="0078021D"/>
    <w:rsid w:val="00782989"/>
    <w:rsid w:val="00782C51"/>
    <w:rsid w:val="00786FED"/>
    <w:rsid w:val="007A06FD"/>
    <w:rsid w:val="007A29C1"/>
    <w:rsid w:val="007A3851"/>
    <w:rsid w:val="007B0BA3"/>
    <w:rsid w:val="007C6FB8"/>
    <w:rsid w:val="007D418F"/>
    <w:rsid w:val="007E19E3"/>
    <w:rsid w:val="007E4B77"/>
    <w:rsid w:val="00800086"/>
    <w:rsid w:val="00830CB5"/>
    <w:rsid w:val="00830D3E"/>
    <w:rsid w:val="00866748"/>
    <w:rsid w:val="00867930"/>
    <w:rsid w:val="00877513"/>
    <w:rsid w:val="008833C7"/>
    <w:rsid w:val="00887CF6"/>
    <w:rsid w:val="00890E2A"/>
    <w:rsid w:val="00893A4F"/>
    <w:rsid w:val="00896D01"/>
    <w:rsid w:val="008A4A74"/>
    <w:rsid w:val="008B52DB"/>
    <w:rsid w:val="008B746E"/>
    <w:rsid w:val="008C11F4"/>
    <w:rsid w:val="008C273E"/>
    <w:rsid w:val="008D32BC"/>
    <w:rsid w:val="008D3F80"/>
    <w:rsid w:val="008D4591"/>
    <w:rsid w:val="008D5309"/>
    <w:rsid w:val="008D6C55"/>
    <w:rsid w:val="008E0248"/>
    <w:rsid w:val="008E0FAD"/>
    <w:rsid w:val="008F3B18"/>
    <w:rsid w:val="008F66CD"/>
    <w:rsid w:val="008F67D0"/>
    <w:rsid w:val="0091061D"/>
    <w:rsid w:val="00910F86"/>
    <w:rsid w:val="00916750"/>
    <w:rsid w:val="00922D49"/>
    <w:rsid w:val="00930436"/>
    <w:rsid w:val="00933D57"/>
    <w:rsid w:val="00940173"/>
    <w:rsid w:val="00942102"/>
    <w:rsid w:val="00965060"/>
    <w:rsid w:val="00973E1B"/>
    <w:rsid w:val="009837EB"/>
    <w:rsid w:val="00992EFD"/>
    <w:rsid w:val="0099426C"/>
    <w:rsid w:val="00994879"/>
    <w:rsid w:val="009A2283"/>
    <w:rsid w:val="009B0ED2"/>
    <w:rsid w:val="009C1C03"/>
    <w:rsid w:val="009D60B5"/>
    <w:rsid w:val="009E2567"/>
    <w:rsid w:val="009F4AEF"/>
    <w:rsid w:val="009F61FC"/>
    <w:rsid w:val="009F6885"/>
    <w:rsid w:val="009F7C60"/>
    <w:rsid w:val="00A10544"/>
    <w:rsid w:val="00A132D1"/>
    <w:rsid w:val="00A23B7D"/>
    <w:rsid w:val="00A5391E"/>
    <w:rsid w:val="00A61BEA"/>
    <w:rsid w:val="00A628A3"/>
    <w:rsid w:val="00A72AAE"/>
    <w:rsid w:val="00A75306"/>
    <w:rsid w:val="00A75715"/>
    <w:rsid w:val="00A83853"/>
    <w:rsid w:val="00A83AFB"/>
    <w:rsid w:val="00A949F6"/>
    <w:rsid w:val="00A96812"/>
    <w:rsid w:val="00AA441E"/>
    <w:rsid w:val="00AA4593"/>
    <w:rsid w:val="00AB1971"/>
    <w:rsid w:val="00AC1A85"/>
    <w:rsid w:val="00AC56F1"/>
    <w:rsid w:val="00AE0199"/>
    <w:rsid w:val="00AF25E2"/>
    <w:rsid w:val="00AF5BF0"/>
    <w:rsid w:val="00B04DA9"/>
    <w:rsid w:val="00B10045"/>
    <w:rsid w:val="00B36E40"/>
    <w:rsid w:val="00B4463A"/>
    <w:rsid w:val="00B56728"/>
    <w:rsid w:val="00B614B9"/>
    <w:rsid w:val="00B6584F"/>
    <w:rsid w:val="00B67C36"/>
    <w:rsid w:val="00B70D75"/>
    <w:rsid w:val="00B73D36"/>
    <w:rsid w:val="00B97A6B"/>
    <w:rsid w:val="00BA2F7D"/>
    <w:rsid w:val="00BB4840"/>
    <w:rsid w:val="00BD1C00"/>
    <w:rsid w:val="00BF13DF"/>
    <w:rsid w:val="00C1178D"/>
    <w:rsid w:val="00C20F57"/>
    <w:rsid w:val="00C400A1"/>
    <w:rsid w:val="00C40B4B"/>
    <w:rsid w:val="00C41111"/>
    <w:rsid w:val="00C468E9"/>
    <w:rsid w:val="00C576B2"/>
    <w:rsid w:val="00C64E9B"/>
    <w:rsid w:val="00C652EB"/>
    <w:rsid w:val="00C919CE"/>
    <w:rsid w:val="00C91ECE"/>
    <w:rsid w:val="00C962FB"/>
    <w:rsid w:val="00CA331E"/>
    <w:rsid w:val="00CD7C85"/>
    <w:rsid w:val="00CE001F"/>
    <w:rsid w:val="00CE4E39"/>
    <w:rsid w:val="00CF40EA"/>
    <w:rsid w:val="00CF5A14"/>
    <w:rsid w:val="00D02BD5"/>
    <w:rsid w:val="00D042C6"/>
    <w:rsid w:val="00D16B2C"/>
    <w:rsid w:val="00D20E37"/>
    <w:rsid w:val="00D52BF6"/>
    <w:rsid w:val="00D550CD"/>
    <w:rsid w:val="00D66D3E"/>
    <w:rsid w:val="00D7053D"/>
    <w:rsid w:val="00D752F3"/>
    <w:rsid w:val="00D87D5D"/>
    <w:rsid w:val="00D94200"/>
    <w:rsid w:val="00DC03A2"/>
    <w:rsid w:val="00DC7EC9"/>
    <w:rsid w:val="00DD522C"/>
    <w:rsid w:val="00DF4FEF"/>
    <w:rsid w:val="00DF70EA"/>
    <w:rsid w:val="00E02F2D"/>
    <w:rsid w:val="00E13152"/>
    <w:rsid w:val="00E16255"/>
    <w:rsid w:val="00E330B1"/>
    <w:rsid w:val="00E3349C"/>
    <w:rsid w:val="00E33C9E"/>
    <w:rsid w:val="00E34D36"/>
    <w:rsid w:val="00E37E23"/>
    <w:rsid w:val="00E401D6"/>
    <w:rsid w:val="00E41FD1"/>
    <w:rsid w:val="00E60DB7"/>
    <w:rsid w:val="00E63CF8"/>
    <w:rsid w:val="00E655A2"/>
    <w:rsid w:val="00E847F5"/>
    <w:rsid w:val="00E90FEB"/>
    <w:rsid w:val="00E92AF6"/>
    <w:rsid w:val="00EA7058"/>
    <w:rsid w:val="00EB437E"/>
    <w:rsid w:val="00EC13B4"/>
    <w:rsid w:val="00EE749B"/>
    <w:rsid w:val="00EF234D"/>
    <w:rsid w:val="00F0274E"/>
    <w:rsid w:val="00F049B6"/>
    <w:rsid w:val="00F12E03"/>
    <w:rsid w:val="00F13119"/>
    <w:rsid w:val="00F257B3"/>
    <w:rsid w:val="00F2700A"/>
    <w:rsid w:val="00F356E9"/>
    <w:rsid w:val="00F366C0"/>
    <w:rsid w:val="00F40930"/>
    <w:rsid w:val="00F44535"/>
    <w:rsid w:val="00F47C5B"/>
    <w:rsid w:val="00F518A1"/>
    <w:rsid w:val="00F51936"/>
    <w:rsid w:val="00F53566"/>
    <w:rsid w:val="00F727FB"/>
    <w:rsid w:val="00F86FEA"/>
    <w:rsid w:val="00F95F2F"/>
    <w:rsid w:val="00FA00EF"/>
    <w:rsid w:val="00FA0914"/>
    <w:rsid w:val="00FA6749"/>
    <w:rsid w:val="00FC5180"/>
    <w:rsid w:val="00FE3073"/>
    <w:rsid w:val="00FF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1" w:semiHidden="0" w:uiPriority="0" w:unhideWhenUsed="0"/>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1" w:semiHidden="0" w:uiPriority="0" w:unhideWhenUsed="0"/>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2076">
      <w:bodyDiv w:val="1"/>
      <w:marLeft w:val="0"/>
      <w:marRight w:val="0"/>
      <w:marTop w:val="0"/>
      <w:marBottom w:val="0"/>
      <w:divBdr>
        <w:top w:val="none" w:sz="0" w:space="0" w:color="auto"/>
        <w:left w:val="none" w:sz="0" w:space="0" w:color="auto"/>
        <w:bottom w:val="none" w:sz="0" w:space="0" w:color="auto"/>
        <w:right w:val="none" w:sz="0" w:space="0" w:color="auto"/>
      </w:divBdr>
    </w:div>
    <w:div w:id="266499237">
      <w:bodyDiv w:val="1"/>
      <w:marLeft w:val="0"/>
      <w:marRight w:val="0"/>
      <w:marTop w:val="0"/>
      <w:marBottom w:val="0"/>
      <w:divBdr>
        <w:top w:val="none" w:sz="0" w:space="0" w:color="auto"/>
        <w:left w:val="none" w:sz="0" w:space="0" w:color="auto"/>
        <w:bottom w:val="none" w:sz="0" w:space="0" w:color="auto"/>
        <w:right w:val="none" w:sz="0" w:space="0" w:color="auto"/>
      </w:divBdr>
    </w:div>
    <w:div w:id="542519003">
      <w:bodyDiv w:val="1"/>
      <w:marLeft w:val="0"/>
      <w:marRight w:val="0"/>
      <w:marTop w:val="0"/>
      <w:marBottom w:val="0"/>
      <w:divBdr>
        <w:top w:val="none" w:sz="0" w:space="0" w:color="auto"/>
        <w:left w:val="none" w:sz="0" w:space="0" w:color="auto"/>
        <w:bottom w:val="none" w:sz="0" w:space="0" w:color="auto"/>
        <w:right w:val="none" w:sz="0" w:space="0" w:color="auto"/>
      </w:divBdr>
    </w:div>
    <w:div w:id="757095957">
      <w:bodyDiv w:val="1"/>
      <w:marLeft w:val="0"/>
      <w:marRight w:val="0"/>
      <w:marTop w:val="0"/>
      <w:marBottom w:val="0"/>
      <w:divBdr>
        <w:top w:val="none" w:sz="0" w:space="0" w:color="auto"/>
        <w:left w:val="none" w:sz="0" w:space="0" w:color="auto"/>
        <w:bottom w:val="none" w:sz="0" w:space="0" w:color="auto"/>
        <w:right w:val="none" w:sz="0" w:space="0" w:color="auto"/>
      </w:divBdr>
    </w:div>
    <w:div w:id="1812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CF49C-355A-5642-8E52-A6B5A42F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1117</Words>
  <Characters>6371</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ful-vue</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Hering</dc:creator>
  <cp:keywords/>
  <cp:lastModifiedBy>John  Aldersley</cp:lastModifiedBy>
  <cp:revision>2</cp:revision>
  <cp:lastPrinted>2011-06-10T03:55:00Z</cp:lastPrinted>
  <dcterms:created xsi:type="dcterms:W3CDTF">2021-06-08T00:15:00Z</dcterms:created>
  <dcterms:modified xsi:type="dcterms:W3CDTF">2021-06-08T00:15:00Z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NetOfFee3Month">
    <vt:lpwstr>0</vt:lpwstr>
  </property>
  <property fmtid="{D5CDD505-2E9C-101B-9397-08002B2CF9AE}" pid="3" name="BenchmarkReturn3Month">
    <vt:lpwstr>0</vt:lpwstr>
  </property>
  <property fmtid="{D5CDD505-2E9C-101B-9397-08002B2CF9AE}" pid="4" name="RelativePerformance3Month">
    <vt:lpwstr>0</vt:lpwstr>
  </property>
  <property fmtid="{D5CDD505-2E9C-101B-9397-08002B2CF9AE}" pid="5" name="Portfolio1Month">
    <vt:lpwstr>-0.17</vt:lpwstr>
  </property>
  <property fmtid="{D5CDD505-2E9C-101B-9397-08002B2CF9AE}" pid="6" name="Portfolio3Month">
    <vt:lpwstr>-8.44</vt:lpwstr>
  </property>
  <property fmtid="{D5CDD505-2E9C-101B-9397-08002B2CF9AE}" pid="7" name="Portfolio6Month">
    <vt:lpwstr>17.97</vt:lpwstr>
  </property>
  <property fmtid="{D5CDD505-2E9C-101B-9397-08002B2CF9AE}" pid="8" name="Portfolio12Month">
    <vt:lpwstr>53.67</vt:lpwstr>
  </property>
  <property fmtid="{D5CDD505-2E9C-101B-9397-08002B2CF9AE}" pid="9" name="Portfolio3Years">
    <vt:lpwstr>18.34</vt:lpwstr>
  </property>
  <property fmtid="{D5CDD505-2E9C-101B-9397-08002B2CF9AE}" pid="10" name="PortfolioInceptionPa">
    <vt:lpwstr>13.37</vt:lpwstr>
  </property>
  <property fmtid="{D5CDD505-2E9C-101B-9397-08002B2CF9AE}" pid="11" name="Benchmark1Month">
    <vt:lpwstr>2.44</vt:lpwstr>
  </property>
  <property fmtid="{D5CDD505-2E9C-101B-9397-08002B2CF9AE}" pid="12" name="Benchmark3Month">
    <vt:lpwstr>4.26</vt:lpwstr>
  </property>
  <property fmtid="{D5CDD505-2E9C-101B-9397-08002B2CF9AE}" pid="13" name="Benchmark6Month">
    <vt:lpwstr>18.54</vt:lpwstr>
  </property>
  <property fmtid="{D5CDD505-2E9C-101B-9397-08002B2CF9AE}" pid="14" name="Benchmark12Month">
    <vt:lpwstr>37.47</vt:lpwstr>
  </property>
  <property fmtid="{D5CDD505-2E9C-101B-9397-08002B2CF9AE}" pid="15" name="Benchmark3Years">
    <vt:lpwstr>9.64</vt:lpwstr>
  </property>
  <property fmtid="{D5CDD505-2E9C-101B-9397-08002B2CF9AE}" pid="16" name="BenchmarkInceptionPa">
    <vt:lpwstr>7.42</vt:lpwstr>
  </property>
  <property fmtid="{D5CDD505-2E9C-101B-9397-08002B2CF9AE}" pid="17" name="Relative1Month">
    <vt:lpwstr>-2.61</vt:lpwstr>
  </property>
  <property fmtid="{D5CDD505-2E9C-101B-9397-08002B2CF9AE}" pid="18" name="Relative3Month">
    <vt:lpwstr>-12.70</vt:lpwstr>
  </property>
  <property fmtid="{D5CDD505-2E9C-101B-9397-08002B2CF9AE}" pid="19" name="Relative6Month">
    <vt:lpwstr>-0.57</vt:lpwstr>
  </property>
  <property fmtid="{D5CDD505-2E9C-101B-9397-08002B2CF9AE}" pid="20" name="Relative12Month">
    <vt:lpwstr>16.20</vt:lpwstr>
  </property>
  <property fmtid="{D5CDD505-2E9C-101B-9397-08002B2CF9AE}" pid="21" name="Relative3Years">
    <vt:lpwstr>8.70</vt:lpwstr>
  </property>
  <property fmtid="{D5CDD505-2E9C-101B-9397-08002B2CF9AE}" pid="22" name="RelativeInceptionPa">
    <vt:lpwstr>5.95</vt:lpwstr>
  </property>
</Properties>
</file>