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F15E3F"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December 2020</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28.85</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13.70</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15.15</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31 December 2020</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3.01</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28.85</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30.43</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59.09</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19.81</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15.27</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1.21</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13.70</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13.20</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1.40</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6.72</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7.06</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1.80</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15.15</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17.23</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57.69</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13.09</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8.21</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8D5309" w:rsidRPr="000578E2" w:rsidRDefault="00F15E3F" w:rsidP="00382DB8">
      <w:pPr>
        <w:spacing w:before="120"/>
        <w:jc w:val="both"/>
        <w:rPr>
          <w:rFonts w:eastAsia="Hiragino Kaku Gothic Pro W6" w:cs="Segoe UI"/>
        </w:rPr>
      </w:pPr>
      <w:r>
        <w:rPr>
          <w:rFonts w:eastAsia="Hiragino Kaku Gothic Pro W6" w:cs="Segoe UI"/>
        </w:rPr>
        <w:t xml:space="preserve">The benefit of the takeover of </w:t>
      </w:r>
      <w:proofErr w:type="spellStart"/>
      <w:r>
        <w:rPr>
          <w:rFonts w:eastAsia="Hiragino Kaku Gothic Pro W6" w:cs="Segoe UI"/>
        </w:rPr>
        <w:t>Xplore</w:t>
      </w:r>
      <w:proofErr w:type="spellEnd"/>
      <w:r>
        <w:rPr>
          <w:rFonts w:eastAsia="Hiragino Kaku Gothic Pro W6" w:cs="Segoe UI"/>
        </w:rPr>
        <w:t xml:space="preserve"> Group came through this quarter, but other holdings also contributed. However it was another satisfying quarter. At quarter close we switched some money into Westpac for the dividend, and into Treasury Estates, that was hit by China imposes tariffs on Australian wines, providing an attractive </w:t>
      </w:r>
      <w:proofErr w:type="gramStart"/>
      <w:r>
        <w:rPr>
          <w:rFonts w:eastAsia="Hiragino Kaku Gothic Pro W6" w:cs="Segoe UI"/>
        </w:rPr>
        <w:t>long term</w:t>
      </w:r>
      <w:proofErr w:type="gramEnd"/>
      <w:r>
        <w:rPr>
          <w:rFonts w:eastAsia="Hiragino Kaku Gothic Pro W6" w:cs="Segoe UI"/>
        </w:rPr>
        <w:t xml:space="preserve"> entry price. </w:t>
      </w:r>
    </w:p>
    <w:p w:rsidR="00382DB8" w:rsidRPr="000578E2" w:rsidRDefault="00382DB8" w:rsidP="00382DB8">
      <w:pPr>
        <w:spacing w:before="120"/>
        <w:jc w:val="both"/>
        <w:rPr>
          <w:rFonts w:eastAsia="Hiragino Kaku Gothic Pro W6" w:cs="Segoe UI"/>
        </w:rPr>
      </w:pPr>
    </w:p>
    <w:p w:rsidR="008F3B18" w:rsidRPr="000578E2" w:rsidRDefault="008F3B18" w:rsidP="008D5309">
      <w:pPr>
        <w:rPr>
          <w:rFonts w:eastAsia="Hiragino Kaku Gothic Pro W6" w:cs="Segoe UI"/>
          <w:b/>
          <w:color w:val="1F497D"/>
        </w:rPr>
      </w:pPr>
    </w:p>
    <w:p w:rsidR="008D5309" w:rsidRPr="000578E2" w:rsidRDefault="0056204C" w:rsidP="008F3B18">
      <w:pPr>
        <w:pStyle w:val="Heading2"/>
        <w:spacing w:before="120" w:after="60"/>
        <w:rPr>
          <w:sz w:val="24"/>
          <w:szCs w:val="24"/>
        </w:rPr>
      </w:pPr>
      <w:r w:rsidRPr="000578E2">
        <w:rPr>
          <w:sz w:val="24"/>
          <w:szCs w:val="24"/>
        </w:rPr>
        <w:t xml:space="preserve">Top </w:t>
      </w:r>
      <w:r>
        <w:rPr>
          <w:sz w:val="24"/>
          <w:szCs w:val="24"/>
        </w:rPr>
        <w:t>5</w:t>
      </w:r>
      <w:r w:rsidRPr="000578E2">
        <w:rPr>
          <w:sz w:val="24"/>
          <w:szCs w:val="24"/>
        </w:rPr>
        <w:t xml:space="preserve"> stocks by weight as at </w:t>
      </w:r>
      <w:r>
        <w:rPr>
          <w:sz w:val="24"/>
          <w:szCs w:val="24"/>
        </w:rPr>
        <w:t>31 December 2020</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2B45D5">
        <w:tc>
          <w:tcPr>
            <w:tcW w:w="2310" w:type="dxa"/>
          </w:tcPr>
          <w:p w:rsidR="002B45D5" w:rsidRDefault="00F15E3F">
            <w:r>
              <w:t>WESTPAC BANKING CORP ORDINARY</w:t>
            </w:r>
          </w:p>
        </w:tc>
        <w:tc>
          <w:tcPr>
            <w:tcW w:w="2310" w:type="dxa"/>
          </w:tcPr>
          <w:p w:rsidR="002B45D5" w:rsidRDefault="00F15E3F">
            <w:r>
              <w:t>Financials</w:t>
            </w:r>
          </w:p>
        </w:tc>
      </w:tr>
      <w:tr w:rsidR="002B45D5">
        <w:tc>
          <w:tcPr>
            <w:tcW w:w="2310" w:type="dxa"/>
          </w:tcPr>
          <w:p w:rsidR="002B45D5" w:rsidRDefault="00F15E3F">
            <w:r>
              <w:t>KOGAN.COM LTD ORDINARY</w:t>
            </w:r>
          </w:p>
        </w:tc>
        <w:tc>
          <w:tcPr>
            <w:tcW w:w="2310" w:type="dxa"/>
          </w:tcPr>
          <w:p w:rsidR="002B45D5" w:rsidRDefault="00F15E3F">
            <w:r>
              <w:t>Consumer Discretionary</w:t>
            </w:r>
          </w:p>
        </w:tc>
      </w:tr>
      <w:tr w:rsidR="002B45D5">
        <w:tc>
          <w:tcPr>
            <w:tcW w:w="2310" w:type="dxa"/>
          </w:tcPr>
          <w:p w:rsidR="002B45D5" w:rsidRDefault="00F15E3F">
            <w:r>
              <w:lastRenderedPageBreak/>
              <w:t>LINK ADMIN HLDG ORDINARY</w:t>
            </w:r>
          </w:p>
        </w:tc>
        <w:tc>
          <w:tcPr>
            <w:tcW w:w="2310" w:type="dxa"/>
          </w:tcPr>
          <w:p w:rsidR="002B45D5" w:rsidRDefault="00F15E3F">
            <w:r>
              <w:t>Information Technology</w:t>
            </w:r>
          </w:p>
        </w:tc>
      </w:tr>
      <w:tr w:rsidR="002B45D5">
        <w:tc>
          <w:tcPr>
            <w:tcW w:w="2310" w:type="dxa"/>
          </w:tcPr>
          <w:p w:rsidR="002B45D5" w:rsidRDefault="00F15E3F">
            <w:r>
              <w:t>CHALLENGER LIMITED ORDINARY</w:t>
            </w:r>
          </w:p>
        </w:tc>
        <w:tc>
          <w:tcPr>
            <w:tcW w:w="2310" w:type="dxa"/>
          </w:tcPr>
          <w:p w:rsidR="002B45D5" w:rsidRDefault="00F15E3F">
            <w:r>
              <w:t>Financials</w:t>
            </w:r>
          </w:p>
        </w:tc>
      </w:tr>
      <w:tr w:rsidR="002B45D5">
        <w:tc>
          <w:tcPr>
            <w:tcW w:w="2310" w:type="dxa"/>
          </w:tcPr>
          <w:p w:rsidR="002B45D5" w:rsidRDefault="00F15E3F">
            <w:r>
              <w:t>TREASURY WINE ESTATE ORDINARY</w:t>
            </w:r>
          </w:p>
        </w:tc>
        <w:tc>
          <w:tcPr>
            <w:tcW w:w="2310" w:type="dxa"/>
          </w:tcPr>
          <w:p w:rsidR="002B45D5" w:rsidRDefault="00F15E3F">
            <w:r>
              <w:t>Consumer Staples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F15E3F" w:rsidRPr="00E71296" w:rsidRDefault="00F15E3F" w:rsidP="00E71296">
      <w:pPr>
        <w:spacing w:before="120"/>
        <w:jc w:val="both"/>
        <w:rPr>
          <w:rFonts w:eastAsia="Hiragino Kaku Gothic Pro W6" w:cs="Segoe UI"/>
        </w:rPr>
      </w:pPr>
      <w:r>
        <w:rPr>
          <w:rFonts w:eastAsia="Hiragino Kaku Gothic Pro W6" w:cs="Segoe UI"/>
        </w:rPr>
        <w:t xml:space="preserve">The market is continuing to ignore the likelihood of rising interest rates (at the long end) during 2021-2 as the stimulation provided by governments around the world to their economies feeds through. Underlying inflation is thought to be under control, but try </w:t>
      </w:r>
      <w:r w:rsidR="00E71296">
        <w:rPr>
          <w:rFonts w:eastAsia="Hiragino Kaku Gothic Pro W6" w:cs="Segoe UI"/>
        </w:rPr>
        <w:t xml:space="preserve">telling that to first time </w:t>
      </w:r>
      <w:proofErr w:type="gramStart"/>
      <w:r w:rsidR="00E71296">
        <w:rPr>
          <w:rFonts w:eastAsia="Hiragino Kaku Gothic Pro W6" w:cs="Segoe UI"/>
        </w:rPr>
        <w:t>home-</w:t>
      </w:r>
      <w:r>
        <w:rPr>
          <w:rFonts w:eastAsia="Hiragino Kaku Gothic Pro W6" w:cs="Segoe UI"/>
        </w:rPr>
        <w:t>buyers</w:t>
      </w:r>
      <w:proofErr w:type="gramEnd"/>
      <w:r>
        <w:rPr>
          <w:rFonts w:eastAsia="Hiragino Kaku Gothic Pro W6" w:cs="Segoe UI"/>
        </w:rPr>
        <w:t xml:space="preserve">. Governments continue to feed </w:t>
      </w:r>
      <w:r w:rsidR="00E71296">
        <w:rPr>
          <w:rFonts w:eastAsia="Hiragino Kaku Gothic Pro W6" w:cs="Segoe UI"/>
        </w:rPr>
        <w:t xml:space="preserve">the </w:t>
      </w:r>
      <w:r>
        <w:rPr>
          <w:rFonts w:eastAsia="Hiragino Kaku Gothic Pro W6" w:cs="Segoe UI"/>
        </w:rPr>
        <w:t xml:space="preserve">asset price frenzy, and </w:t>
      </w:r>
      <w:proofErr w:type="gramStart"/>
      <w:r w:rsidR="00E71296">
        <w:rPr>
          <w:rFonts w:eastAsia="Hiragino Kaku Gothic Pro W6" w:cs="Segoe UI"/>
        </w:rPr>
        <w:t>short term</w:t>
      </w:r>
      <w:proofErr w:type="gramEnd"/>
      <w:r w:rsidR="00E71296">
        <w:rPr>
          <w:rFonts w:eastAsia="Hiragino Kaku Gothic Pro W6" w:cs="Segoe UI"/>
        </w:rPr>
        <w:t xml:space="preserve"> </w:t>
      </w:r>
      <w:r>
        <w:rPr>
          <w:rFonts w:eastAsia="Hiragino Kaku Gothic Pro W6" w:cs="Segoe UI"/>
        </w:rPr>
        <w:t xml:space="preserve">interest rates are sufficiently low that it still looks cheaper to buy than rent in many Australian capital cities despite the rises.  The </w:t>
      </w:r>
      <w:proofErr w:type="spellStart"/>
      <w:r>
        <w:rPr>
          <w:rFonts w:eastAsia="Hiragino Kaku Gothic Pro W6" w:cs="Segoe UI"/>
        </w:rPr>
        <w:t>stockmarket</w:t>
      </w:r>
      <w:proofErr w:type="spellEnd"/>
      <w:r>
        <w:rPr>
          <w:rFonts w:eastAsia="Hiragino Kaku Gothic Pro W6" w:cs="Segoe UI"/>
        </w:rPr>
        <w:t xml:space="preserve"> is seeing this too, with retail investors back in force</w:t>
      </w:r>
      <w:r w:rsidR="00E71296">
        <w:rPr>
          <w:rFonts w:eastAsia="Hiragino Kaku Gothic Pro W6" w:cs="Segoe UI"/>
        </w:rPr>
        <w:t>,</w:t>
      </w:r>
      <w:r>
        <w:rPr>
          <w:rFonts w:eastAsia="Hiragino Kaku Gothic Pro W6" w:cs="Segoe UI"/>
        </w:rPr>
        <w:t xml:space="preserve"> especially </w:t>
      </w:r>
      <w:proofErr w:type="spellStart"/>
      <w:r>
        <w:rPr>
          <w:rFonts w:eastAsia="Hiragino Kaku Gothic Pro W6" w:cs="Segoe UI"/>
        </w:rPr>
        <w:t>Millennials</w:t>
      </w:r>
      <w:proofErr w:type="spellEnd"/>
      <w:r>
        <w:rPr>
          <w:rFonts w:eastAsia="Hiragino Kaku Gothic Pro W6" w:cs="Segoe UI"/>
        </w:rPr>
        <w:t xml:space="preserve">. Old timers realise we are close to some sort of blow off, but the exact timing is hard to call.  </w:t>
      </w:r>
    </w:p>
    <w:p w:rsidR="00F15E3F" w:rsidRDefault="00F15E3F" w:rsidP="00382DB8">
      <w:pPr>
        <w:jc w:val="both"/>
        <w:rPr>
          <w:rFonts w:eastAsia="Calibri"/>
        </w:rPr>
      </w:pPr>
      <w:r>
        <w:rPr>
          <w:rFonts w:eastAsia="Calibri"/>
        </w:rPr>
        <w:t xml:space="preserve">On the other hand, </w:t>
      </w:r>
      <w:r w:rsidR="00E71296">
        <w:rPr>
          <w:rFonts w:eastAsia="Calibri"/>
        </w:rPr>
        <w:t xml:space="preserve">new </w:t>
      </w:r>
      <w:r>
        <w:rPr>
          <w:rFonts w:eastAsia="Calibri"/>
        </w:rPr>
        <w:t xml:space="preserve">opportunities </w:t>
      </w:r>
      <w:r w:rsidR="00E71296">
        <w:rPr>
          <w:rFonts w:eastAsia="Calibri"/>
        </w:rPr>
        <w:t xml:space="preserve">are </w:t>
      </w:r>
      <w:r>
        <w:rPr>
          <w:rFonts w:eastAsia="Calibri"/>
        </w:rPr>
        <w:t xml:space="preserve">arising from the rapid pace of </w:t>
      </w:r>
      <w:r w:rsidR="00E71296">
        <w:rPr>
          <w:rFonts w:eastAsia="Calibri"/>
        </w:rPr>
        <w:t xml:space="preserve">new technologies. Even the covid19 vaccine research has triggered some advances in other areas. The </w:t>
      </w:r>
      <w:proofErr w:type="spellStart"/>
      <w:r w:rsidR="00E71296">
        <w:rPr>
          <w:rFonts w:eastAsia="Calibri"/>
        </w:rPr>
        <w:t>stockmarket</w:t>
      </w:r>
      <w:proofErr w:type="spellEnd"/>
      <w:r w:rsidR="00E71296">
        <w:rPr>
          <w:rFonts w:eastAsia="Calibri"/>
        </w:rPr>
        <w:t xml:space="preserve"> is not a zero sum </w:t>
      </w:r>
      <w:proofErr w:type="gramStart"/>
      <w:r w:rsidR="00E71296">
        <w:rPr>
          <w:rFonts w:eastAsia="Calibri"/>
        </w:rPr>
        <w:t>game,</w:t>
      </w:r>
      <w:proofErr w:type="gramEnd"/>
      <w:r w:rsidR="00E71296">
        <w:rPr>
          <w:rFonts w:eastAsia="Calibri"/>
        </w:rPr>
        <w:t xml:space="preserve"> there is generally economic growth and progress providing </w:t>
      </w:r>
      <w:proofErr w:type="spellStart"/>
      <w:r w:rsidR="00E71296">
        <w:rPr>
          <w:rFonts w:eastAsia="Calibri"/>
        </w:rPr>
        <w:t>gaions</w:t>
      </w:r>
      <w:proofErr w:type="spellEnd"/>
      <w:r w:rsidR="00E71296">
        <w:rPr>
          <w:rFonts w:eastAsia="Calibri"/>
        </w:rPr>
        <w:t xml:space="preserve">. So for the moment, we are running with the momentum. </w:t>
      </w:r>
    </w:p>
    <w:p w:rsidR="00E71296" w:rsidRDefault="00E71296" w:rsidP="00382DB8">
      <w:pPr>
        <w:jc w:val="both"/>
        <w:rPr>
          <w:rFonts w:eastAsia="Calibri"/>
        </w:rPr>
      </w:pPr>
      <w:r>
        <w:rPr>
          <w:rFonts w:eastAsia="Calibri"/>
        </w:rPr>
        <w:t xml:space="preserve">Covid-19 vaccines are now available, so there is an end in sight for </w:t>
      </w:r>
      <w:proofErr w:type="spellStart"/>
      <w:r>
        <w:rPr>
          <w:rFonts w:eastAsia="Calibri"/>
        </w:rPr>
        <w:t>covid</w:t>
      </w:r>
      <w:proofErr w:type="spellEnd"/>
      <w:r>
        <w:rPr>
          <w:rFonts w:eastAsia="Calibri"/>
        </w:rPr>
        <w:t xml:space="preserve"> lockdowns. Whether that will be a catalyst for the market to wake up to the indebtedness of governments and pullback, is yet to be seen. Often </w:t>
      </w:r>
      <w:proofErr w:type="gramStart"/>
      <w:r>
        <w:rPr>
          <w:rFonts w:eastAsia="Calibri"/>
        </w:rPr>
        <w:t>its</w:t>
      </w:r>
      <w:proofErr w:type="gramEnd"/>
      <w:r>
        <w:rPr>
          <w:rFonts w:eastAsia="Calibri"/>
        </w:rPr>
        <w:t xml:space="preserve"> “better to travel than to arrive”.  The coming year is shaping up as seeing the beginning of the next bear market.</w:t>
      </w:r>
      <w:bookmarkStart w:id="0" w:name="_GoBack"/>
      <w:bookmarkEnd w:id="0"/>
    </w:p>
    <w:p w:rsidR="00E71296" w:rsidRDefault="00E71296" w:rsidP="00382DB8">
      <w:pPr>
        <w:jc w:val="both"/>
        <w:rPr>
          <w:rFonts w:eastAsia="Calibri"/>
        </w:rPr>
      </w:pPr>
    </w:p>
    <w:p w:rsidR="00E71296" w:rsidRDefault="00E71296" w:rsidP="00382DB8">
      <w:pPr>
        <w:jc w:val="both"/>
        <w:rPr>
          <w:rFonts w:eastAsia="Calibri"/>
        </w:rPr>
      </w:pPr>
    </w:p>
    <w:p w:rsidR="00E71296" w:rsidRPr="000578E2" w:rsidRDefault="00E71296" w:rsidP="00382DB8">
      <w:pPr>
        <w:jc w:val="both"/>
        <w:rPr>
          <w:rFonts w:eastAsia="Calibri"/>
        </w:rPr>
        <w:sectPr w:rsidR="00E71296" w:rsidRPr="000578E2" w:rsidSect="00334718">
          <w:type w:val="continuous"/>
          <w:pgSz w:w="11900" w:h="16840"/>
          <w:pgMar w:top="1440" w:right="1410" w:bottom="1440" w:left="1276" w:header="708" w:footer="708" w:gutter="0"/>
          <w:cols w:space="708"/>
        </w:sectPr>
      </w:pP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3F" w:rsidRDefault="00F15E3F">
      <w:pPr>
        <w:spacing w:after="0" w:line="240" w:lineRule="auto"/>
      </w:pPr>
      <w:r>
        <w:separator/>
      </w:r>
    </w:p>
  </w:endnote>
  <w:endnote w:type="continuationSeparator" w:id="0">
    <w:p w:rsidR="00F15E3F" w:rsidRDefault="00F1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3F" w:rsidRDefault="00F15E3F"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E3F" w:rsidRDefault="00F15E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3F" w:rsidRDefault="00F15E3F"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296">
      <w:rPr>
        <w:rStyle w:val="PageNumber"/>
        <w:noProof/>
      </w:rPr>
      <w:t>1</w:t>
    </w:r>
    <w:r>
      <w:rPr>
        <w:rStyle w:val="PageNumber"/>
      </w:rPr>
      <w:fldChar w:fldCharType="end"/>
    </w:r>
  </w:p>
  <w:p w:rsidR="00F15E3F" w:rsidRDefault="00F15E3F" w:rsidP="007A29C1">
    <w:pPr>
      <w:pStyle w:val="Footer"/>
      <w:jc w:val="center"/>
    </w:pPr>
  </w:p>
  <w:p w:rsidR="00F15E3F" w:rsidRDefault="00F15E3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3F" w:rsidRDefault="00F15E3F">
      <w:pPr>
        <w:spacing w:after="0" w:line="240" w:lineRule="auto"/>
      </w:pPr>
      <w:r>
        <w:separator/>
      </w:r>
    </w:p>
  </w:footnote>
  <w:footnote w:type="continuationSeparator" w:id="0">
    <w:p w:rsidR="00F15E3F" w:rsidRDefault="00F15E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45D5"/>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8021D"/>
    <w:rsid w:val="00782989"/>
    <w:rsid w:val="00782C51"/>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71296"/>
    <w:rsid w:val="00E847F5"/>
    <w:rsid w:val="00E90FEB"/>
    <w:rsid w:val="00E92AF6"/>
    <w:rsid w:val="00EA7058"/>
    <w:rsid w:val="00EB437E"/>
    <w:rsid w:val="00EC13B4"/>
    <w:rsid w:val="00EE749B"/>
    <w:rsid w:val="00EF234D"/>
    <w:rsid w:val="00F0274E"/>
    <w:rsid w:val="00F049B6"/>
    <w:rsid w:val="00F12E03"/>
    <w:rsid w:val="00F13119"/>
    <w:rsid w:val="00F15E3F"/>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B1D1-03F7-A44E-A10E-DEB3E2E8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998</Words>
  <Characters>5690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2021-03-14T06:41:00Z</dcterms:created>
  <dcterms:modified xsi:type="dcterms:W3CDTF">2021-03-14T06:41:00Z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3.01</vt:lpwstr>
  </property>
  <property fmtid="{D5CDD505-2E9C-101B-9397-08002B2CF9AE}" pid="6" name="Portfolio3Month">
    <vt:lpwstr>28.85</vt:lpwstr>
  </property>
  <property fmtid="{D5CDD505-2E9C-101B-9397-08002B2CF9AE}" pid="7" name="Portfolio6Month">
    <vt:lpwstr>30.43</vt:lpwstr>
  </property>
  <property fmtid="{D5CDD505-2E9C-101B-9397-08002B2CF9AE}" pid="8" name="Portfolio12Month">
    <vt:lpwstr>59.09</vt:lpwstr>
  </property>
  <property fmtid="{D5CDD505-2E9C-101B-9397-08002B2CF9AE}" pid="9" name="Portfolio3Years">
    <vt:lpwstr>19.81</vt:lpwstr>
  </property>
  <property fmtid="{D5CDD505-2E9C-101B-9397-08002B2CF9AE}" pid="10" name="PortfolioInceptionPa">
    <vt:lpwstr>15.27</vt:lpwstr>
  </property>
  <property fmtid="{D5CDD505-2E9C-101B-9397-08002B2CF9AE}" pid="11" name="Benchmark1Month">
    <vt:lpwstr>1.21</vt:lpwstr>
  </property>
  <property fmtid="{D5CDD505-2E9C-101B-9397-08002B2CF9AE}" pid="12" name="Benchmark3Month">
    <vt:lpwstr>13.70</vt:lpwstr>
  </property>
  <property fmtid="{D5CDD505-2E9C-101B-9397-08002B2CF9AE}" pid="13" name="Benchmark6Month">
    <vt:lpwstr>13.20</vt:lpwstr>
  </property>
  <property fmtid="{D5CDD505-2E9C-101B-9397-08002B2CF9AE}" pid="14" name="Benchmark12Month">
    <vt:lpwstr>1.40</vt:lpwstr>
  </property>
  <property fmtid="{D5CDD505-2E9C-101B-9397-08002B2CF9AE}" pid="15" name="Benchmark3Years">
    <vt:lpwstr>6.72</vt:lpwstr>
  </property>
  <property fmtid="{D5CDD505-2E9C-101B-9397-08002B2CF9AE}" pid="16" name="BenchmarkInceptionPa">
    <vt:lpwstr>7.06</vt:lpwstr>
  </property>
  <property fmtid="{D5CDD505-2E9C-101B-9397-08002B2CF9AE}" pid="17" name="Relative1Month">
    <vt:lpwstr>1.80</vt:lpwstr>
  </property>
  <property fmtid="{D5CDD505-2E9C-101B-9397-08002B2CF9AE}" pid="18" name="Relative3Month">
    <vt:lpwstr>15.15</vt:lpwstr>
  </property>
  <property fmtid="{D5CDD505-2E9C-101B-9397-08002B2CF9AE}" pid="19" name="Relative6Month">
    <vt:lpwstr>17.23</vt:lpwstr>
  </property>
  <property fmtid="{D5CDD505-2E9C-101B-9397-08002B2CF9AE}" pid="20" name="Relative12Month">
    <vt:lpwstr>57.69</vt:lpwstr>
  </property>
  <property fmtid="{D5CDD505-2E9C-101B-9397-08002B2CF9AE}" pid="21" name="Relative3Years">
    <vt:lpwstr>13.09</vt:lpwstr>
  </property>
  <property fmtid="{D5CDD505-2E9C-101B-9397-08002B2CF9AE}" pid="22" name="RelativeInceptionPa">
    <vt:lpwstr>8.21</vt:lpwstr>
  </property>
</Properties>
</file>